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0B555C" w14:textId="650C459C" w:rsidR="006E48EA" w:rsidRPr="000B6B22" w:rsidRDefault="006E48EA" w:rsidP="00754B43">
      <w:pPr>
        <w:spacing w:before="0"/>
        <w:jc w:val="center"/>
        <w:rPr>
          <w:rFonts w:ascii="Times New Roman" w:hAnsi="Times New Roman"/>
          <w:sz w:val="24"/>
        </w:rPr>
      </w:pPr>
      <w:bookmarkStart w:id="0" w:name="_Toc310414964"/>
      <w:r>
        <w:rPr>
          <w:rFonts w:ascii="Times New Roman" w:hAnsi="Times New Roman"/>
          <w:sz w:val="24"/>
        </w:rPr>
        <w:t>ΠΑΡΑΡΤΗΜΑ XXV</w:t>
      </w:r>
    </w:p>
    <w:p w14:paraId="09068E28" w14:textId="245D3A73" w:rsidR="009D4EFF" w:rsidRDefault="009D4EFF" w:rsidP="00754B43">
      <w:pPr>
        <w:spacing w:before="0"/>
        <w:jc w:val="center"/>
        <w:rPr>
          <w:rFonts w:ascii="Times New Roman" w:hAnsi="Times New Roman"/>
          <w:b/>
          <w:sz w:val="24"/>
        </w:rPr>
      </w:pPr>
      <w:r>
        <w:rPr>
          <w:rFonts w:ascii="Times New Roman" w:hAnsi="Times New Roman"/>
          <w:b/>
          <w:sz w:val="24"/>
        </w:rPr>
        <w:t>ΟΔΗΓΙΕΣ ΓΙΑ ΤΗ ΣΥΜΠΛΗΡΩΣΗ ΤΩΝ ΥΠΟΔΕΙΓΜΑΤΩΝ ΡΕΥΣΤΟΤΗΤΑΣ ΤΟΥ ΠΑΡΑΡΤΗΜΑΤΟΣ XXIV</w:t>
      </w:r>
    </w:p>
    <w:p w14:paraId="083DC5D1" w14:textId="77777777" w:rsidR="009D4EFF" w:rsidRDefault="009D4EFF" w:rsidP="009D4EFF">
      <w:pPr>
        <w:spacing w:before="0"/>
        <w:rPr>
          <w:rFonts w:ascii="Times New Roman" w:hAnsi="Times New Roman"/>
          <w:b/>
          <w:sz w:val="24"/>
          <w:lang w:eastAsia="de-DE"/>
        </w:rPr>
      </w:pPr>
    </w:p>
    <w:p w14:paraId="72D6950B" w14:textId="7251839F" w:rsidR="006E48EA" w:rsidRDefault="009D4EFF" w:rsidP="009D4EFF">
      <w:pPr>
        <w:spacing w:before="0"/>
        <w:rPr>
          <w:rFonts w:ascii="Times New Roman" w:hAnsi="Times New Roman"/>
          <w:b/>
          <w:sz w:val="24"/>
        </w:rPr>
      </w:pPr>
      <w:r>
        <w:rPr>
          <w:rFonts w:ascii="Times New Roman" w:hAnsi="Times New Roman"/>
          <w:b/>
          <w:sz w:val="24"/>
        </w:rPr>
        <w:t>ΜΕΡΟΣ 1: ΡΕΥΣΤΑ ΣΤΟΙΧΕΙΑ ΕΝΕΡΓΗΤΙΚΟΥ</w:t>
      </w:r>
    </w:p>
    <w:bookmarkEnd w:id="0"/>
    <w:p w14:paraId="2D20B30B" w14:textId="77777777" w:rsidR="006E48EA" w:rsidRPr="00301219" w:rsidRDefault="006E48E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w:t>
      </w:r>
      <w:r w:rsidRPr="00301219">
        <w:rPr>
          <w:u w:val="none"/>
        </w:rPr>
        <w:tab/>
      </w:r>
      <w:r w:rsidRPr="00301219">
        <w:rPr>
          <w:rFonts w:ascii="Times New Roman" w:hAnsi="Times New Roman"/>
          <w:sz w:val="24"/>
          <w:u w:val="none"/>
        </w:rPr>
        <w:t>Ρευστά στοιχεία ενεργητικού</w:t>
      </w:r>
    </w:p>
    <w:p w14:paraId="5A818423"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bookmarkStart w:id="1" w:name="_Toc308175819"/>
      <w:bookmarkStart w:id="2" w:name="_Toc310414966"/>
      <w:r w:rsidRPr="00301219">
        <w:rPr>
          <w:rFonts w:ascii="Times New Roman" w:hAnsi="Times New Roman"/>
          <w:sz w:val="24"/>
          <w:u w:val="none"/>
        </w:rPr>
        <w:t>1.1.</w:t>
      </w:r>
      <w:r w:rsidRPr="00301219">
        <w:rPr>
          <w:u w:val="none"/>
        </w:rPr>
        <w:tab/>
      </w:r>
      <w:r>
        <w:rPr>
          <w:rFonts w:ascii="Times New Roman" w:hAnsi="Times New Roman"/>
          <w:sz w:val="24"/>
          <w:u w:val="none"/>
        </w:rPr>
        <w:t>Γενικές παρατηρήσεις</w:t>
      </w:r>
      <w:bookmarkEnd w:id="1"/>
      <w:bookmarkEnd w:id="2"/>
    </w:p>
    <w:p w14:paraId="35B71612" w14:textId="7CB84DE3" w:rsidR="006E48EA" w:rsidRPr="000B6B22" w:rsidRDefault="006E48EA">
      <w:pPr>
        <w:pStyle w:val="InstructionsText2"/>
        <w:spacing w:after="120"/>
        <w:rPr>
          <w:rFonts w:cs="Times New Roman"/>
          <w:sz w:val="24"/>
          <w:szCs w:val="24"/>
        </w:rPr>
      </w:pPr>
      <w:r>
        <w:rPr>
          <w:sz w:val="24"/>
        </w:rPr>
        <w:t>Το παρόν είναι ένα συνοπτικό υπόδειγμα που περιέχει πληροφορίες σχετικά με τα στοιχεία ενεργητικού για τον σκοπό της υποβολής αναφορών σχετικά με την απαίτηση κάλυψης του κινδύνου ρευστότητας, όπως ορίζεται στον κατ’ εξουσιοδότηση κανονισμό (ΕΕ) 2015/61 της Επιτροπής</w:t>
      </w:r>
      <w:r>
        <w:rPr>
          <w:rStyle w:val="FootnoteReference"/>
          <w:rFonts w:ascii="Times New Roman" w:hAnsi="Times New Roman" w:cs="Times New Roman"/>
          <w:sz w:val="24"/>
          <w:szCs w:val="24"/>
        </w:rPr>
        <w:footnoteReference w:id="2"/>
      </w:r>
      <w:r>
        <w:rPr>
          <w:sz w:val="24"/>
        </w:rPr>
        <w:t>. Τα στοιχεία που δεν χρειάζεται να συμπληρωθούν από τα πιστωτικά ιδρύματα χρωματίζονται με γκρι.</w:t>
      </w:r>
    </w:p>
    <w:p w14:paraId="4BD684D5" w14:textId="66206934" w:rsidR="006E48EA" w:rsidRPr="000B6B22" w:rsidRDefault="006E48EA">
      <w:pPr>
        <w:pStyle w:val="InstructionsText2"/>
        <w:spacing w:after="120"/>
        <w:rPr>
          <w:rFonts w:cs="Times New Roman"/>
          <w:sz w:val="24"/>
          <w:szCs w:val="24"/>
        </w:rPr>
      </w:pPr>
      <w:r>
        <w:rPr>
          <w:sz w:val="24"/>
        </w:rPr>
        <w:t>Τα αναφερόμενα στοιχεία ενεργητικού πρέπει να πληρούν τις απαιτήσεις που ορίζονται στον τίτλο ΙΙ του κατ’ εξουσιοδότηση κανονισμού (ΕΕ) 2015/61.</w:t>
      </w:r>
    </w:p>
    <w:p w14:paraId="7FB2C67A" w14:textId="2438D97E" w:rsidR="006E48EA" w:rsidRPr="000B6B22" w:rsidRDefault="006E48EA">
      <w:pPr>
        <w:pStyle w:val="InstructionsText2"/>
        <w:spacing w:after="120"/>
        <w:rPr>
          <w:rFonts w:cs="Times New Roman"/>
          <w:sz w:val="24"/>
          <w:szCs w:val="24"/>
        </w:rPr>
      </w:pPr>
      <w:r>
        <w:rPr>
          <w:sz w:val="24"/>
        </w:rPr>
        <w:t>Κατά παρέκκλιση του σημείου 2, τα πιστωτικά ιδρύματα δεν εφαρμόζουν τους συναλλαγματικούς περιορισμούς σύμφωνα με το άρθρο 8 παράγραφος 6, το άρθρο 10 παράγραφος 1 στοιχείο δ) και το άρθρο 12 παράγραφος 1 στοιχείο γ) του κατ’ εξουσιοδότηση κανονισμού (ΕΕ) 2015/61 κατά τη συμπλήρωση του υποδείγματος σε χωριστό νόμισμα, σύμφωνα με το άρθρο 415 παράγραφος 2 του κανονισμού (ΕΕ) αριθ. 575/2013. Τα πιστωτικά ιδρύματα εξακολουθούν να εφαρμόζουν περιορισμούς δικαιοδοσίας.</w:t>
      </w:r>
    </w:p>
    <w:p w14:paraId="08753421" w14:textId="33FC7351" w:rsidR="006E48EA" w:rsidRPr="000B6B22" w:rsidRDefault="006E48EA">
      <w:pPr>
        <w:pStyle w:val="InstructionsText2"/>
        <w:spacing w:after="120"/>
        <w:rPr>
          <w:rFonts w:cs="Times New Roman"/>
          <w:sz w:val="24"/>
          <w:szCs w:val="24"/>
        </w:rPr>
      </w:pPr>
      <w:r>
        <w:rPr>
          <w:sz w:val="24"/>
        </w:rPr>
        <w:t>Τα πιστωτικά ιδρύματα υποβάλλουν το υπόδειγμα στα αντίστοιχα νομίσματα, σύμφωνα με το άρθρο 415 παράγραφος 2 του κανονισμού (ΕΕ) 575/2013.</w:t>
      </w:r>
    </w:p>
    <w:p w14:paraId="135D8891" w14:textId="35DC3B30" w:rsidR="006E48EA" w:rsidRPr="000B6B22" w:rsidRDefault="00A35BA4">
      <w:pPr>
        <w:pStyle w:val="InstructionsText2"/>
        <w:spacing w:after="120"/>
        <w:rPr>
          <w:rFonts w:cs="Times New Roman"/>
          <w:sz w:val="24"/>
          <w:szCs w:val="24"/>
        </w:rPr>
      </w:pPr>
      <w:r>
        <w:rPr>
          <w:sz w:val="24"/>
        </w:rPr>
        <w:t>Σύμφωνα με το άρθρο 9 του κατ’ εξουσιοδότηση κανονισμού (ΕΕ) 2015/61, τα πιστωτικά ιδρύματα αναφέρουν, κατά περίπτωση, το ποσό/την αγοραία αξία των ρευστών στοιχείων ενεργητικού, λαμβάνοντας υπόψη τις καθαρές εκροές και εισροές ρευστότητας που προκύπτουν από ενδεχόμενη πρόωρη εκκαθάριση της αντιστάθμισης που αναφέρεται στο άρθρο 8 παράγραφος 5 στοιχείο β) και σύμφωνα με τα κατάλληλα ποσοστά περικοπής που ορίζονται στο κεφάλαιο 2 του εν λόγω κατ’ εξουσιοδότηση κανονισμού.</w:t>
      </w:r>
    </w:p>
    <w:p w14:paraId="064CED75" w14:textId="254AB0D5" w:rsidR="006E48EA" w:rsidRPr="000B6B22" w:rsidRDefault="0070035D">
      <w:pPr>
        <w:pStyle w:val="InstructionsText2"/>
        <w:spacing w:after="120"/>
        <w:rPr>
          <w:rFonts w:cs="Times New Roman"/>
          <w:sz w:val="24"/>
          <w:szCs w:val="24"/>
        </w:rPr>
      </w:pPr>
      <w:r>
        <w:rPr>
          <w:rStyle w:val="HTMLTypewriter"/>
          <w:rFonts w:ascii="Times New Roman" w:hAnsi="Times New Roman"/>
          <w:sz w:val="24"/>
        </w:rPr>
        <w:t>Ο κατ’ εξουσιοδότηση κανονισμός (ΕΕ) 2015/61 αναφέρεται μόνο σε συντελεστές και σε ποσοστά περικοπής. Στις παρούσες οδηγίες η λέξη «σταθμισμένο» χρησιμοποιείται ως γενικός όρος για να δηλώσει το ποσό που προκύπτει μετά την εφαρμογή των σχετικών ποσοστών περικοπής, συντελεστών και τυχόν άλλων πρόσθετων σχετικών οδηγιών (στην περίπτωση π.χ. εξασφαλισμένων πιστοδοτήσεων και χρηματοδότησης). Ο όρος «συντελεστής στάθμισης» στο πλαίσιο αυτών των οδηγιών αναφέρεται σε έναν αριθμό μεταξύ 0 και 1, ο οποίος πολλαπλασιαζόμενος επί το ποσό παράγει το σταθμισμένο ποσό ή την αγοραία αξία που αναφέρεται στο άρθρο 9 του κατ’ εξουσιοδότηση κανονισμού (ΕΕ) 2015/61,</w:t>
      </w:r>
      <w:r>
        <w:rPr>
          <w:sz w:val="24"/>
        </w:rPr>
        <w:t xml:space="preserve"> αντιστοίχως.</w:t>
      </w:r>
    </w:p>
    <w:p w14:paraId="503E5F9E" w14:textId="3D6E9DFE" w:rsidR="006E48EA" w:rsidRPr="000B6B22" w:rsidRDefault="006E48EA">
      <w:pPr>
        <w:pStyle w:val="InstructionsText2"/>
        <w:spacing w:after="120"/>
        <w:rPr>
          <w:rFonts w:cs="Times New Roman"/>
          <w:sz w:val="24"/>
          <w:szCs w:val="24"/>
        </w:rPr>
      </w:pPr>
      <w:r>
        <w:rPr>
          <w:sz w:val="24"/>
        </w:rPr>
        <w:lastRenderedPageBreak/>
        <w:t xml:space="preserve">Τα πιστωτικά ιδρύματα δεν αναφέρουν δύο φορές στοιχεία εντός και μεταξύ των τμημάτων 1.1.1., 1.1.2., 1.2.1. και 1.2.2 του υποδείγματος. </w:t>
      </w:r>
    </w:p>
    <w:p w14:paraId="54D6516C" w14:textId="77777777" w:rsidR="006E48EA" w:rsidRPr="00301219" w:rsidRDefault="006E48E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1.2.</w:t>
      </w:r>
      <w:r w:rsidRPr="00301219">
        <w:rPr>
          <w:u w:val="none"/>
        </w:rPr>
        <w:tab/>
      </w:r>
      <w:r w:rsidRPr="00301219">
        <w:rPr>
          <w:rFonts w:ascii="Times New Roman" w:hAnsi="Times New Roman"/>
          <w:sz w:val="24"/>
          <w:u w:val="none"/>
        </w:rPr>
        <w:t>Ειδικές παρατηρήσεις</w:t>
      </w:r>
    </w:p>
    <w:p w14:paraId="3CFE794C" w14:textId="77777777" w:rsidR="006E48EA" w:rsidRPr="00301219" w:rsidRDefault="006E48EA">
      <w:pPr>
        <w:pStyle w:val="Instructionsberschrift2"/>
        <w:numPr>
          <w:ilvl w:val="0"/>
          <w:numId w:val="0"/>
        </w:numPr>
        <w:spacing w:before="0" w:after="120"/>
        <w:ind w:left="357" w:hanging="357"/>
        <w:rPr>
          <w:rFonts w:ascii="Times New Roman" w:hAnsi="Times New Roman" w:cs="Times New Roman"/>
          <w:sz w:val="24"/>
          <w:u w:val="none"/>
        </w:rPr>
      </w:pPr>
      <w:r w:rsidRPr="00301219">
        <w:rPr>
          <w:rFonts w:ascii="Times New Roman" w:hAnsi="Times New Roman"/>
          <w:sz w:val="24"/>
          <w:u w:val="none"/>
        </w:rPr>
        <w:t>1.2.1.</w:t>
      </w:r>
      <w:r w:rsidRPr="00301219">
        <w:rPr>
          <w:u w:val="none"/>
        </w:rPr>
        <w:tab/>
      </w:r>
      <w:r w:rsidRPr="00301219">
        <w:rPr>
          <w:rFonts w:ascii="Times New Roman" w:hAnsi="Times New Roman"/>
          <w:sz w:val="24"/>
          <w:u w:val="none"/>
        </w:rPr>
        <w:t>Ειδικές απαιτήσεις για οργανισμούς συλλογικών επενδύσεων (ΟΣΕ)</w:t>
      </w:r>
    </w:p>
    <w:p w14:paraId="09802304" w14:textId="4229D4DA" w:rsidR="006E48EA" w:rsidRPr="00301219" w:rsidRDefault="006E48EA">
      <w:pPr>
        <w:pStyle w:val="InstructionsText2"/>
        <w:spacing w:after="120"/>
        <w:rPr>
          <w:rFonts w:cs="Times New Roman"/>
          <w:sz w:val="24"/>
          <w:szCs w:val="24"/>
        </w:rPr>
      </w:pPr>
      <w:r w:rsidRPr="00301219">
        <w:rPr>
          <w:sz w:val="24"/>
        </w:rPr>
        <w:t>Για τα σημεία 1.1.1.10., 1.1.1.11., 1.2.1.6., 1.1.2.2., 1.2.2.10., 1.2.2.11., 1.2.2.12., 1.2.2.13. του υποδείγματος, τα πιστωτικά ιδρύματα αναφέρουν το κατάλληλο ποσοστό της αγοραίας αξίας του ΟΣΕ που αντιστοιχεί στα υποκείμενα ρευστά στοιχεία ενεργητικού της επιχείρησης, σύμφωνα με το άρθρο 15 παράγραφος 4 του κατ’ εξουσιοδότηση κανονισμού (ΕΕ) 2015/61.</w:t>
      </w:r>
    </w:p>
    <w:p w14:paraId="13CC1218" w14:textId="77777777" w:rsidR="006E48EA" w:rsidRPr="00301219" w:rsidRDefault="006E48EA">
      <w:pPr>
        <w:pStyle w:val="Instructionsberschrift2"/>
        <w:numPr>
          <w:ilvl w:val="0"/>
          <w:numId w:val="0"/>
        </w:numPr>
        <w:spacing w:before="0" w:after="120"/>
        <w:ind w:left="357" w:hanging="357"/>
        <w:rPr>
          <w:rFonts w:ascii="Times New Roman" w:hAnsi="Times New Roman" w:cs="Times New Roman"/>
          <w:sz w:val="24"/>
          <w:u w:val="none"/>
        </w:rPr>
      </w:pPr>
      <w:r w:rsidRPr="00301219">
        <w:rPr>
          <w:rFonts w:ascii="Times New Roman" w:hAnsi="Times New Roman"/>
          <w:sz w:val="24"/>
          <w:u w:val="none"/>
        </w:rPr>
        <w:t>1.2.2.</w:t>
      </w:r>
      <w:r w:rsidRPr="00301219">
        <w:rPr>
          <w:u w:val="none"/>
        </w:rPr>
        <w:tab/>
      </w:r>
      <w:r w:rsidRPr="00301219">
        <w:rPr>
          <w:rFonts w:ascii="Times New Roman" w:hAnsi="Times New Roman"/>
          <w:sz w:val="24"/>
          <w:u w:val="none"/>
        </w:rPr>
        <w:t>Ειδικές απαιτήσεις όσον αφορά την αποδοχή του προϋφιστάμενου καθεστώτος και μεταβατικές διατάξεις</w:t>
      </w:r>
    </w:p>
    <w:p w14:paraId="16DEDAB1" w14:textId="4E0E163B" w:rsidR="006E48EA" w:rsidRPr="00301219" w:rsidRDefault="006E48EA">
      <w:pPr>
        <w:pStyle w:val="InstructionsText2"/>
        <w:spacing w:after="120"/>
        <w:rPr>
          <w:rFonts w:cs="Times New Roman"/>
          <w:sz w:val="24"/>
          <w:szCs w:val="24"/>
        </w:rPr>
      </w:pPr>
      <w:r w:rsidRPr="00301219">
        <w:rPr>
          <w:sz w:val="24"/>
        </w:rPr>
        <w:t>Τα πιστωτικά ιδρύματα υποβάλλουν στοιχεία σύμφωνα με τα άρθρα 35 έως 37 του κατ’ εξουσιοδότηση κανονισμού (ΕΕ) 2015/61 στις κατάλληλες γραμμές στοιχείων ενεργητικού. Αναφέρεται επίσης ένα συνολικό ποσό όλων των στοιχείων ενεργητικού που δηλώνονται βάσει αυτών των άρθρων στο τμήμα «Υπομνηματικά στοιχεία».</w:t>
      </w:r>
    </w:p>
    <w:p w14:paraId="7E788613" w14:textId="77777777" w:rsidR="006E48EA" w:rsidRPr="00301219" w:rsidRDefault="006E48EA">
      <w:pPr>
        <w:pStyle w:val="Instructionsberschrift2"/>
        <w:numPr>
          <w:ilvl w:val="0"/>
          <w:numId w:val="0"/>
        </w:numPr>
        <w:spacing w:before="0" w:after="120"/>
        <w:ind w:left="357" w:hanging="357"/>
        <w:rPr>
          <w:rFonts w:ascii="Times New Roman" w:hAnsi="Times New Roman" w:cs="Times New Roman"/>
          <w:sz w:val="24"/>
          <w:u w:val="none"/>
        </w:rPr>
      </w:pPr>
      <w:r w:rsidRPr="00301219">
        <w:rPr>
          <w:rFonts w:ascii="Times New Roman" w:hAnsi="Times New Roman"/>
          <w:sz w:val="24"/>
          <w:u w:val="none"/>
        </w:rPr>
        <w:t>1.2.3.</w:t>
      </w:r>
      <w:r w:rsidRPr="00301219">
        <w:rPr>
          <w:u w:val="none"/>
        </w:rPr>
        <w:tab/>
      </w:r>
      <w:r w:rsidRPr="00301219">
        <w:rPr>
          <w:rFonts w:ascii="Times New Roman" w:hAnsi="Times New Roman"/>
          <w:sz w:val="24"/>
          <w:u w:val="none"/>
        </w:rPr>
        <w:t>Ειδικές απαιτήσεις για την υποβολή αναφορών από κεντρικά ιδρύματα</w:t>
      </w:r>
    </w:p>
    <w:p w14:paraId="70BC7592" w14:textId="5A862313" w:rsidR="006E48EA" w:rsidRPr="00301219" w:rsidRDefault="006E48EA">
      <w:pPr>
        <w:pStyle w:val="InstructionsText2"/>
        <w:spacing w:after="120"/>
        <w:rPr>
          <w:rFonts w:cs="Times New Roman"/>
          <w:sz w:val="24"/>
          <w:szCs w:val="24"/>
        </w:rPr>
      </w:pPr>
      <w:r w:rsidRPr="00301219">
        <w:rPr>
          <w:sz w:val="24"/>
        </w:rPr>
        <w:t>Τα κεντρικά ιδρύματα, κατά την αναφορά ρευστών στοιχείων ενεργητικού που αντιστοιχούν σε καταθέσεις από πιστωτικά ιδρύματα στο κεντρικό ίδρυμα οι οποίες θεωρούνται ρευστά στοιχεία ενεργητικού για το πιστωτικό ίδρυμα που πραγματοποιεί την κατάθεση, εξασφαλίζουν ότι το αναφερθέν ποσό των εν λόγω ρευστών στοιχείων ενεργητικού μετά την περικοπή δεν υπερβαίνει την εκροή από τις αντίστοιχες καταθέσεις, σύμφωνα με το άρθρο 27 παράγραφος 3 του κατ’ εξουσιοδότηση κανονισμού (ΕΕ) 2015/61.</w:t>
      </w:r>
    </w:p>
    <w:p w14:paraId="08F746D2" w14:textId="77777777" w:rsidR="006E48EA" w:rsidRPr="00301219" w:rsidRDefault="006E48EA">
      <w:pPr>
        <w:pStyle w:val="Instructionsberschrift2"/>
        <w:numPr>
          <w:ilvl w:val="0"/>
          <w:numId w:val="0"/>
        </w:numPr>
        <w:spacing w:before="0" w:after="120"/>
        <w:ind w:left="357" w:hanging="357"/>
        <w:rPr>
          <w:rFonts w:ascii="Times New Roman" w:hAnsi="Times New Roman" w:cs="Times New Roman"/>
          <w:sz w:val="24"/>
          <w:u w:val="none"/>
        </w:rPr>
      </w:pPr>
      <w:r w:rsidRPr="00301219">
        <w:rPr>
          <w:rFonts w:ascii="Times New Roman" w:hAnsi="Times New Roman"/>
          <w:sz w:val="24"/>
          <w:u w:val="none"/>
        </w:rPr>
        <w:t>1.2.4.</w:t>
      </w:r>
      <w:r w:rsidRPr="00301219">
        <w:rPr>
          <w:u w:val="none"/>
        </w:rPr>
        <w:tab/>
      </w:r>
      <w:r w:rsidRPr="00301219">
        <w:rPr>
          <w:rFonts w:ascii="Times New Roman" w:hAnsi="Times New Roman"/>
          <w:sz w:val="24"/>
          <w:u w:val="none"/>
        </w:rPr>
        <w:t>Ειδικές απαιτήσεις όσον αφορά τον διακανονισμό και τις προθεσμιακές πράξεις</w:t>
      </w:r>
    </w:p>
    <w:p w14:paraId="1164A59B" w14:textId="4F671D1D" w:rsidR="006E48EA" w:rsidRPr="00301219" w:rsidRDefault="006E48EA">
      <w:pPr>
        <w:pStyle w:val="InstructionsText2"/>
        <w:spacing w:after="120"/>
        <w:rPr>
          <w:rFonts w:cs="Times New Roman"/>
          <w:sz w:val="24"/>
          <w:szCs w:val="24"/>
        </w:rPr>
      </w:pPr>
      <w:r w:rsidRPr="00301219">
        <w:rPr>
          <w:sz w:val="24"/>
        </w:rPr>
        <w:t>Όλα τα στοιχεία ενεργητικού που πληρούν τις διατάξεις των άρθρων 7, 8 και 9 του κατ’ εξουσιοδότηση κανονισμού (ΕΕ) 2015/61 και τα οποία διατηρούνται στο απόθεμα του πιστωτικού ιδρύματος την ημερομηνία αναφοράς, δηλώνονται στη σχετική γραμμή του υποδείγματος C72, ακόμη και αν πωλούνται ή χρησιμοποιούνται σε εξασφαλισμένες προθεσμιακές πράξεις. Κατά πάγια πρακτική, στο εν λόγω υπόδειγμα δεν αναφέρονται ρευστά στοιχεία ενεργητικού από προθεσμιακές πράξεις που αφορούν αγορές ρευστών στοιχείων ενεργητικού και προθεσμιακές αγορές ρευστών στοιχείων ενεργητικού που έχουν συμφωνηθεί αλλά δεν έχουν ακόμη διακανονιστεί.</w:t>
      </w:r>
    </w:p>
    <w:p w14:paraId="5D31F171" w14:textId="63C94CE8" w:rsidR="006E48EA" w:rsidRPr="00301219" w:rsidRDefault="0062089A">
      <w:pPr>
        <w:pStyle w:val="Instructionsberschrift2"/>
        <w:numPr>
          <w:ilvl w:val="0"/>
          <w:numId w:val="0"/>
        </w:numPr>
        <w:spacing w:before="0" w:after="120"/>
        <w:ind w:left="357" w:hanging="357"/>
        <w:rPr>
          <w:rFonts w:ascii="Times New Roman" w:hAnsi="Times New Roman" w:cs="Times New Roman"/>
          <w:sz w:val="24"/>
          <w:u w:val="none"/>
        </w:rPr>
      </w:pPr>
      <w:r w:rsidRPr="00301219">
        <w:rPr>
          <w:rFonts w:ascii="Times New Roman" w:hAnsi="Times New Roman"/>
          <w:sz w:val="24"/>
          <w:u w:val="none"/>
        </w:rPr>
        <w:t>1.2.5.</w:t>
      </w:r>
      <w:r w:rsidRPr="00301219">
        <w:rPr>
          <w:u w:val="none"/>
        </w:rPr>
        <w:tab/>
      </w:r>
      <w:r w:rsidRPr="00301219">
        <w:rPr>
          <w:rFonts w:ascii="Times New Roman" w:hAnsi="Times New Roman"/>
          <w:sz w:val="24"/>
          <w:u w:val="none"/>
        </w:rPr>
        <w:t>Μέρος του υποδείγματος για τα ρευστά στοιχεία ενεργητικού</w:t>
      </w:r>
    </w:p>
    <w:p w14:paraId="6008567D" w14:textId="2FCA01BD" w:rsidR="006E48EA" w:rsidRPr="00301219" w:rsidRDefault="0062089A">
      <w:pPr>
        <w:pStyle w:val="Instructionsberschrift2"/>
        <w:numPr>
          <w:ilvl w:val="0"/>
          <w:numId w:val="0"/>
        </w:numPr>
        <w:spacing w:before="0" w:after="120"/>
        <w:rPr>
          <w:rFonts w:ascii="Times New Roman" w:hAnsi="Times New Roman" w:cs="Times New Roman"/>
          <w:sz w:val="24"/>
          <w:u w:val="none"/>
        </w:rPr>
      </w:pPr>
      <w:bookmarkStart w:id="3" w:name="_Toc308175821"/>
      <w:bookmarkStart w:id="4" w:name="_Toc310414968"/>
      <w:r w:rsidRPr="00301219">
        <w:rPr>
          <w:rFonts w:ascii="Times New Roman" w:hAnsi="Times New Roman"/>
          <w:sz w:val="24"/>
          <w:u w:val="none"/>
        </w:rPr>
        <w:t>1.2.5.1</w:t>
      </w:r>
      <w:r w:rsidRPr="00301219">
        <w:rPr>
          <w:u w:val="none"/>
        </w:rPr>
        <w:tab/>
      </w:r>
      <w:r w:rsidRPr="00301219">
        <w:rPr>
          <w:rFonts w:ascii="Times New Roman" w:hAnsi="Times New Roman"/>
          <w:sz w:val="24"/>
          <w:u w:val="none"/>
        </w:rPr>
        <w:t xml:space="preserve">Οδηγίες για συγκεκριμένες </w:t>
      </w:r>
      <w:bookmarkEnd w:id="3"/>
      <w:bookmarkEnd w:id="4"/>
      <w:r w:rsidRPr="00301219">
        <w:rPr>
          <w:rFonts w:ascii="Times New Roman" w:hAnsi="Times New Roman"/>
          <w:sz w:val="24"/>
          <w:u w:val="none"/>
        </w:rPr>
        <w:t>στήλες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4"/>
        <w:gridCol w:w="6974"/>
      </w:tblGrid>
      <w:tr w:rsidR="00B47B7D" w:rsidRPr="000B6B22" w14:paraId="4EBF8AAD" w14:textId="77777777" w:rsidTr="00454544">
        <w:tc>
          <w:tcPr>
            <w:tcW w:w="1232" w:type="dxa"/>
            <w:shd w:val="clear" w:color="auto" w:fill="auto"/>
          </w:tcPr>
          <w:p w14:paraId="3AEADC77" w14:textId="77777777" w:rsidR="006E48EA" w:rsidRPr="000B6B22" w:rsidRDefault="006E48EA">
            <w:pPr>
              <w:keepNext/>
              <w:spacing w:before="0"/>
              <w:rPr>
                <w:rFonts w:ascii="Times New Roman" w:eastAsia="Calibri" w:hAnsi="Times New Roman"/>
                <w:sz w:val="24"/>
              </w:rPr>
            </w:pPr>
            <w:r>
              <w:rPr>
                <w:rFonts w:ascii="Times New Roman" w:hAnsi="Times New Roman"/>
                <w:sz w:val="24"/>
              </w:rPr>
              <w:t>Στήλη</w:t>
            </w:r>
          </w:p>
        </w:tc>
        <w:tc>
          <w:tcPr>
            <w:tcW w:w="7182" w:type="dxa"/>
            <w:shd w:val="clear" w:color="auto" w:fill="auto"/>
          </w:tcPr>
          <w:p w14:paraId="5F18A003" w14:textId="77777777" w:rsidR="006E48EA" w:rsidRPr="000B6B22" w:rsidRDefault="006E48EA">
            <w:pPr>
              <w:keepNext/>
              <w:spacing w:before="0"/>
              <w:rPr>
                <w:rFonts w:ascii="Times New Roman" w:eastAsia="Calibri" w:hAnsi="Times New Roman"/>
                <w:sz w:val="24"/>
              </w:rPr>
            </w:pPr>
            <w:r>
              <w:rPr>
                <w:rFonts w:ascii="Times New Roman" w:hAnsi="Times New Roman"/>
                <w:sz w:val="24"/>
              </w:rPr>
              <w:t>Νομικά κείμενα αναφοράς και οδηγίες</w:t>
            </w:r>
          </w:p>
        </w:tc>
      </w:tr>
      <w:tr w:rsidR="00B47B7D" w:rsidRPr="000B6B22" w14:paraId="5C423E29" w14:textId="77777777" w:rsidTr="00454544">
        <w:tc>
          <w:tcPr>
            <w:tcW w:w="1232" w:type="dxa"/>
            <w:shd w:val="clear" w:color="auto" w:fill="auto"/>
          </w:tcPr>
          <w:p w14:paraId="2537E4CB" w14:textId="76C72136"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t>0010</w:t>
            </w:r>
          </w:p>
        </w:tc>
        <w:tc>
          <w:tcPr>
            <w:tcW w:w="7182" w:type="dxa"/>
            <w:shd w:val="clear" w:color="auto" w:fill="auto"/>
          </w:tcPr>
          <w:p w14:paraId="6C510055" w14:textId="77777777" w:rsidR="006E48EA" w:rsidRPr="000B6B22" w:rsidRDefault="006E48EA">
            <w:pPr>
              <w:spacing w:before="0"/>
              <w:rPr>
                <w:rStyle w:val="FormatvorlageInstructionsTabelleText"/>
                <w:rFonts w:ascii="Times New Roman" w:eastAsia="Calibri" w:hAnsi="Times New Roman"/>
                <w:b/>
                <w:bCs w:val="0"/>
                <w:sz w:val="24"/>
                <w:szCs w:val="18"/>
              </w:rPr>
            </w:pPr>
            <w:r>
              <w:rPr>
                <w:rStyle w:val="FormatvorlageInstructionsTabelleText"/>
                <w:rFonts w:ascii="Times New Roman" w:hAnsi="Times New Roman"/>
                <w:b/>
                <w:sz w:val="24"/>
              </w:rPr>
              <w:t>Ποσό/Αγοραία αξία</w:t>
            </w:r>
          </w:p>
          <w:p w14:paraId="7A86ACBE" w14:textId="78756635" w:rsidR="006E48EA" w:rsidRPr="000B6B22" w:rsidRDefault="006E48EA">
            <w:pPr>
              <w:pStyle w:val="InstructionsText"/>
              <w:spacing w:after="120"/>
              <w:rPr>
                <w:rFonts w:eastAsia="Calibri" w:cs="Times New Roman"/>
                <w:sz w:val="24"/>
                <w:szCs w:val="24"/>
              </w:rPr>
            </w:pPr>
            <w:r>
              <w:rPr>
                <w:sz w:val="24"/>
              </w:rPr>
              <w:t>Τα πιστωτικά ιδρύματα αναφέρουν στη στήλη 0010 την αγοραία αξία ή, κατά περίπτωση, το ποσό των ρευστών στοιχείων ενεργητικού, σύμφωνα με τον τίτλο II του κατ’ εξουσιοδότηση κανονισμού (ΕΕ) 2015/61.</w:t>
            </w:r>
          </w:p>
          <w:p w14:paraId="16EF3725" w14:textId="4ADEF39E" w:rsidR="006E48EA" w:rsidRPr="000B6B22" w:rsidRDefault="006E48EA">
            <w:pPr>
              <w:pStyle w:val="InstructionsText"/>
              <w:spacing w:after="120"/>
              <w:rPr>
                <w:rFonts w:eastAsia="Calibri" w:cs="Times New Roman"/>
                <w:sz w:val="24"/>
                <w:szCs w:val="24"/>
              </w:rPr>
            </w:pPr>
            <w:r>
              <w:rPr>
                <w:sz w:val="24"/>
              </w:rPr>
              <w:t>Το ποσό/η αγοραία αξία που αναφέρεται στη στήλη 0010:</w:t>
            </w:r>
          </w:p>
          <w:p w14:paraId="72235291" w14:textId="77777777" w:rsidR="006E48EA" w:rsidRPr="000B6B22" w:rsidRDefault="006E48EA">
            <w:pPr>
              <w:pStyle w:val="InstructionsText"/>
              <w:spacing w:after="120"/>
              <w:rPr>
                <w:rFonts w:eastAsia="Calibri" w:cs="Times New Roman"/>
                <w:sz w:val="24"/>
                <w:szCs w:val="24"/>
              </w:rPr>
            </w:pPr>
            <w:r>
              <w:rPr>
                <w:sz w:val="24"/>
              </w:rPr>
              <w:lastRenderedPageBreak/>
              <w:t>—</w:t>
            </w:r>
            <w:r>
              <w:tab/>
            </w:r>
            <w:r>
              <w:rPr>
                <w:sz w:val="24"/>
              </w:rPr>
              <w:t>λαμβάνει υπόψη τις καθαρές εκροές και εισροές ρευστότητας που προκύπτουν από ενδεχόμενη εκκαθάριση της αντιστάθμισης, όπως ορίζεται στο άρθρο 8 παράγραφος 5 του ίδιου κανονισμού·</w:t>
            </w:r>
          </w:p>
          <w:p w14:paraId="5023737E" w14:textId="77777777" w:rsidR="006E48EA" w:rsidRPr="000B6B22" w:rsidRDefault="006E48EA">
            <w:pPr>
              <w:pStyle w:val="InstructionsText"/>
              <w:spacing w:after="120"/>
              <w:rPr>
                <w:rFonts w:eastAsia="Calibri" w:cs="Times New Roman"/>
                <w:sz w:val="24"/>
                <w:szCs w:val="24"/>
              </w:rPr>
            </w:pPr>
            <w:r>
              <w:rPr>
                <w:sz w:val="24"/>
              </w:rPr>
              <w:t>—</w:t>
            </w:r>
            <w:r>
              <w:tab/>
            </w:r>
            <w:r>
              <w:rPr>
                <w:sz w:val="24"/>
              </w:rPr>
              <w:t>δεν λαμβάνει υπόψη τα ποσοστά περικοπής που ορίζονται στον τίτλο II του ίδιου κανονισμού·</w:t>
            </w:r>
          </w:p>
          <w:p w14:paraId="7B129B7C" w14:textId="4D4ED89C" w:rsidR="006E48EA" w:rsidRPr="000B6B22" w:rsidRDefault="006E48EA">
            <w:pPr>
              <w:pStyle w:val="InstructionsText"/>
              <w:spacing w:after="120"/>
              <w:rPr>
                <w:rFonts w:eastAsia="Calibri" w:cs="Times New Roman"/>
                <w:sz w:val="24"/>
                <w:szCs w:val="24"/>
              </w:rPr>
            </w:pPr>
            <w:r>
              <w:rPr>
                <w:sz w:val="24"/>
              </w:rPr>
              <w:t>—</w:t>
            </w:r>
            <w:r>
              <w:tab/>
            </w:r>
            <w:r>
              <w:rPr>
                <w:sz w:val="24"/>
              </w:rPr>
              <w:t>περιλαμβάνει το μέρος των καταθέσεων που αναφέρεται στο άρθρο 16 παράγραφος 1 στοιχείο α) του ίδιου κανονισμού που διατηρούνται σε διάφορα ειδικά στοιχεία ενεργητικού στις αντίστοιχες γραμμές στοιχείων ενεργητικού·</w:t>
            </w:r>
          </w:p>
          <w:p w14:paraId="13E3E7C6" w14:textId="77777777" w:rsidR="006E48EA" w:rsidRPr="000B6B22" w:rsidRDefault="006E48EA">
            <w:pPr>
              <w:pStyle w:val="InstructionsText"/>
              <w:spacing w:after="120"/>
              <w:rPr>
                <w:rFonts w:eastAsia="Calibri" w:cs="Times New Roman"/>
                <w:sz w:val="24"/>
                <w:szCs w:val="24"/>
              </w:rPr>
            </w:pPr>
            <w:r>
              <w:rPr>
                <w:sz w:val="24"/>
              </w:rPr>
              <w:t>—</w:t>
            </w:r>
            <w:r>
              <w:tab/>
            </w:r>
            <w:r>
              <w:rPr>
                <w:sz w:val="24"/>
              </w:rPr>
              <w:t>μειώνεται, ενδεχομένως, κατά το ποσό των καταθέσεων που ορίζονται στο άρθρο 16 προς το κεντρικό πιστωτικό ίδρυμα, όπως αναφέρεται στο άρθρο 27 παράγραφος 3 του ίδιου κανονισμού.</w:t>
            </w:r>
          </w:p>
          <w:p w14:paraId="7DF933B9" w14:textId="509AEEF6" w:rsidR="006E48EA" w:rsidRPr="000B6B22" w:rsidRDefault="006E48EA">
            <w:pPr>
              <w:pStyle w:val="InstructionsText"/>
              <w:spacing w:after="120"/>
              <w:rPr>
                <w:rFonts w:eastAsia="Calibri" w:cs="Times New Roman"/>
                <w:sz w:val="24"/>
                <w:szCs w:val="24"/>
              </w:rPr>
            </w:pPr>
            <w:r>
              <w:rPr>
                <w:sz w:val="24"/>
              </w:rPr>
              <w:t>Όσον αφορά το άρθρο 8 παράγραφος 5 του κατ’ εξουσιοδότηση κανονισμού (ΕΕ) 2015/61, τα πιστωτικά ιδρύματα λαμβάνουν υπόψη τις καθαρές ταμειακές ροές, είτε εκροής είτε εισροής, που θα προέκυπταν εάν η εκκαθάριση της αντιστάθμισης γινόταν την ημερομηνία αναφοράς για την υποβολή αναφορών. Τα πιστωτικά ιδρύματα δεν λαμβάνουν υπόψη τις πιθανές μελλοντικές μεταβολές της αξίας του περιουσιακού στοιχείου.</w:t>
            </w:r>
          </w:p>
        </w:tc>
      </w:tr>
      <w:tr w:rsidR="00B47B7D" w:rsidRPr="000B6B22" w14:paraId="012B2098" w14:textId="77777777" w:rsidTr="00454544">
        <w:tc>
          <w:tcPr>
            <w:tcW w:w="1232" w:type="dxa"/>
            <w:shd w:val="clear" w:color="auto" w:fill="auto"/>
          </w:tcPr>
          <w:p w14:paraId="745791C5" w14:textId="56238692"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lastRenderedPageBreak/>
              <w:t>0020</w:t>
            </w:r>
          </w:p>
        </w:tc>
        <w:tc>
          <w:tcPr>
            <w:tcW w:w="7182" w:type="dxa"/>
            <w:shd w:val="clear" w:color="auto" w:fill="auto"/>
          </w:tcPr>
          <w:p w14:paraId="5E801B77" w14:textId="77777777" w:rsidR="006E48EA" w:rsidRPr="000B6B22" w:rsidRDefault="006E48EA">
            <w:pPr>
              <w:spacing w:before="0"/>
              <w:rPr>
                <w:rStyle w:val="FormatvorlageInstructionsTabelleText"/>
                <w:rFonts w:ascii="Times New Roman" w:eastAsia="Calibri" w:hAnsi="Times New Roman"/>
                <w:b/>
                <w:bCs w:val="0"/>
                <w:sz w:val="24"/>
                <w:szCs w:val="18"/>
              </w:rPr>
            </w:pPr>
            <w:r>
              <w:rPr>
                <w:rStyle w:val="FormatvorlageInstructionsTabelleText"/>
                <w:rFonts w:ascii="Times New Roman" w:hAnsi="Times New Roman"/>
                <w:b/>
                <w:sz w:val="24"/>
              </w:rPr>
              <w:t>Πάγιος συντελεστής στάθμισης</w:t>
            </w:r>
          </w:p>
          <w:p w14:paraId="6901B289" w14:textId="7F78CCA9" w:rsidR="006E48EA" w:rsidRPr="000B6B22" w:rsidRDefault="00575F76">
            <w:pPr>
              <w:pStyle w:val="InstructionsText"/>
              <w:spacing w:after="120"/>
              <w:rPr>
                <w:rFonts w:eastAsia="Calibri" w:cs="Times New Roman"/>
                <w:sz w:val="24"/>
                <w:szCs w:val="24"/>
              </w:rPr>
            </w:pPr>
            <w:r>
              <w:rPr>
                <w:sz w:val="24"/>
              </w:rPr>
              <w:t xml:space="preserve">Η στήλη 0020 περιέχει τους συντελεστές στάθμισης που αντικατοπτρίζουν το </w:t>
            </w:r>
            <w:r>
              <w:rPr>
                <w:rStyle w:val="HTMLTypewriter"/>
                <w:rFonts w:ascii="Times New Roman" w:hAnsi="Times New Roman"/>
                <w:sz w:val="24"/>
              </w:rPr>
              <w:t>ποσό το οποίο προκύπτει με την εφαρμογή των σχετικών ποσοστών περικοπής</w:t>
            </w:r>
            <w:r>
              <w:rPr>
                <w:sz w:val="24"/>
              </w:rPr>
              <w:t xml:space="preserve"> που ορίζονται στον τίτλο ΙΙ του κατ’ εξουσιοδότηση κανονισμού (ΕΕ) 2015/61. Σκοπός των σταθμίσεων είναι να αποτυπώσουν τη μείωση της αξίας των ρευστών στοιχείων ενεργητικού μετά την εφαρμογή των κατάλληλων ποσοστών περικοπής.</w:t>
            </w:r>
          </w:p>
        </w:tc>
      </w:tr>
      <w:tr w:rsidR="00B47B7D" w:rsidRPr="000B6B22" w14:paraId="386E64E6" w14:textId="77777777" w:rsidTr="00454544">
        <w:tc>
          <w:tcPr>
            <w:tcW w:w="1232" w:type="dxa"/>
            <w:shd w:val="clear" w:color="auto" w:fill="auto"/>
          </w:tcPr>
          <w:p w14:paraId="6E8E0D21" w14:textId="443E67E6"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t>0030</w:t>
            </w:r>
          </w:p>
        </w:tc>
        <w:tc>
          <w:tcPr>
            <w:tcW w:w="7182" w:type="dxa"/>
            <w:shd w:val="clear" w:color="auto" w:fill="auto"/>
          </w:tcPr>
          <w:p w14:paraId="7A221A08" w14:textId="0FFA180E" w:rsidR="006E48EA" w:rsidRPr="000B6B22" w:rsidRDefault="006E48EA">
            <w:pPr>
              <w:spacing w:before="0"/>
              <w:rPr>
                <w:rFonts w:ascii="Times New Roman" w:eastAsia="Calibri" w:hAnsi="Times New Roman"/>
                <w:sz w:val="24"/>
              </w:rPr>
            </w:pPr>
            <w:r>
              <w:rPr>
                <w:rStyle w:val="FormatvorlageInstructionsTabelleText"/>
                <w:rFonts w:ascii="Times New Roman" w:hAnsi="Times New Roman"/>
                <w:b/>
                <w:sz w:val="24"/>
              </w:rPr>
              <w:t>Εφαρμοστέος συντελεστής στάθμισης</w:t>
            </w:r>
          </w:p>
          <w:p w14:paraId="033F8F70" w14:textId="1EC9DC65" w:rsidR="006E48EA" w:rsidRPr="000B6B22" w:rsidRDefault="006E48EA">
            <w:pPr>
              <w:pStyle w:val="InstructionsText"/>
              <w:spacing w:after="120"/>
              <w:rPr>
                <w:rFonts w:eastAsia="Calibri" w:cs="Times New Roman"/>
                <w:sz w:val="24"/>
                <w:szCs w:val="24"/>
              </w:rPr>
            </w:pPr>
            <w:r>
              <w:rPr>
                <w:sz w:val="24"/>
              </w:rPr>
              <w:t>Τα πιστωτικά ιδρύματα αναφέρουν στη στήλη 0030 τον συντελεστή στάθμισης που εφαρμόζεται στα ρευστά στοιχεία ενεργητικού που ορίζονται στον τίτλο II του κατ’ εξουσιοδότηση κανονισμού (ΕΕ) 2015/61. Οι εφαρμοστέοι συντελεστές στάθμισης μπορεί να οδηγήσουν σε σταθμισμένες μέσες τιμές και αναφέρονται σε δεκαδικά (δηλαδή 1,00 για εφαρμοστέο συντελεστή 100 τοις εκατό ή 0,50 για εφαρμοστέο συντελεστή 50 τοις εκατό). Οι εφαρμοστέοι συντελεστές στάθμισης μπορεί να αντικατοπτρίζουν, αλλά δεν περιορίζονται σε ειδική διακριτική ευχέρεια εταιρειών ή κρατών μελών. Η τιμή που αναφέρεται στη στήλη 0030 δεν είναι μεγαλύτερη από την τιμή της στήλης 0020.</w:t>
            </w:r>
          </w:p>
        </w:tc>
      </w:tr>
      <w:tr w:rsidR="00B47B7D" w:rsidRPr="000B6B22" w14:paraId="11DB60B8" w14:textId="77777777" w:rsidTr="00454544">
        <w:tc>
          <w:tcPr>
            <w:tcW w:w="1232" w:type="dxa"/>
            <w:shd w:val="clear" w:color="auto" w:fill="auto"/>
          </w:tcPr>
          <w:p w14:paraId="7E21A1A5" w14:textId="03D620F5"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t>0040</w:t>
            </w:r>
          </w:p>
        </w:tc>
        <w:tc>
          <w:tcPr>
            <w:tcW w:w="7182" w:type="dxa"/>
            <w:shd w:val="clear" w:color="auto" w:fill="auto"/>
          </w:tcPr>
          <w:p w14:paraId="6B4342D5" w14:textId="55937FD5" w:rsidR="006E48EA" w:rsidRPr="000B6B22" w:rsidRDefault="006E48EA">
            <w:pPr>
              <w:spacing w:before="0"/>
              <w:rPr>
                <w:rFonts w:ascii="Times New Roman" w:eastAsia="Calibri" w:hAnsi="Times New Roman"/>
                <w:b/>
                <w:sz w:val="24"/>
              </w:rPr>
            </w:pPr>
            <w:r>
              <w:rPr>
                <w:rFonts w:ascii="Times New Roman" w:hAnsi="Times New Roman"/>
                <w:b/>
                <w:sz w:val="24"/>
              </w:rPr>
              <w:t>Αξία σύμφωνα με το άρθρο 9</w:t>
            </w:r>
          </w:p>
          <w:p w14:paraId="3DD790D0" w14:textId="1F71ECA0" w:rsidR="006E48EA" w:rsidRPr="000B6B22" w:rsidRDefault="006E48EA">
            <w:pPr>
              <w:pStyle w:val="InstructionsText"/>
              <w:spacing w:after="120"/>
              <w:rPr>
                <w:rFonts w:eastAsia="Calibri" w:cs="Times New Roman"/>
                <w:sz w:val="24"/>
                <w:szCs w:val="24"/>
              </w:rPr>
            </w:pPr>
            <w:r>
              <w:rPr>
                <w:sz w:val="24"/>
              </w:rPr>
              <w:t xml:space="preserve">Τα πιστωτικά ιδρύματα αναφέρουν στη στήλη 0040 την αξία του ρευστού στοιχείου ενεργητικού που καθορίζεται σύμφωνα με το άρθρο 9 του κατ’ εξουσιοδότηση κανονισμού (ΕΕ) 2015/61, η οποία είναι το ποσό/η αγοραία αξία, λαμβάνοντας υπόψη τις καθαρές εκροές και εισροές ρευστότητας που οφείλονται σε ενδεχόμενη εκκαθάριση </w:t>
            </w:r>
            <w:r>
              <w:rPr>
                <w:sz w:val="24"/>
              </w:rPr>
              <w:lastRenderedPageBreak/>
              <w:t>της αντιστάθμισης, πολλαπλασιαζόμενες επί τον εφαρμοστέο συντελεστή στάθμισης.</w:t>
            </w:r>
          </w:p>
        </w:tc>
      </w:tr>
    </w:tbl>
    <w:p w14:paraId="0F791B3D" w14:textId="2FD347F3" w:rsidR="006E48EA" w:rsidRPr="000B6B22" w:rsidRDefault="0062089A">
      <w:pPr>
        <w:pStyle w:val="Instructionsberschrift2"/>
        <w:numPr>
          <w:ilvl w:val="0"/>
          <w:numId w:val="0"/>
        </w:numPr>
        <w:spacing w:before="0" w:after="120"/>
        <w:rPr>
          <w:rFonts w:ascii="Times New Roman" w:hAnsi="Times New Roman" w:cs="Times New Roman"/>
          <w:sz w:val="24"/>
          <w:u w:val="none"/>
        </w:rPr>
      </w:pPr>
      <w:r>
        <w:rPr>
          <w:rFonts w:ascii="Times New Roman" w:hAnsi="Times New Roman"/>
          <w:sz w:val="24"/>
          <w:u w:val="none"/>
        </w:rPr>
        <w:lastRenderedPageBreak/>
        <w:t>1.2.5.2</w:t>
      </w:r>
      <w:r w:rsidRPr="00301219">
        <w:rPr>
          <w:u w:val="none"/>
        </w:rPr>
        <w:tab/>
      </w:r>
      <w:r>
        <w:rPr>
          <w:rFonts w:ascii="Times New Roman" w:hAnsi="Times New Roman"/>
          <w:sz w:val="24"/>
          <w:u w:val="none"/>
        </w:rPr>
        <w:t>Οδηγίες για συγκεκριμένες γραμμές</w:t>
      </w:r>
    </w:p>
    <w:tbl>
      <w:tblPr>
        <w:tblW w:w="822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7"/>
        <w:gridCol w:w="8"/>
        <w:gridCol w:w="7117"/>
      </w:tblGrid>
      <w:tr w:rsidR="00B47B7D" w:rsidRPr="000B6B22" w14:paraId="5F75203B" w14:textId="77777777" w:rsidTr="002B73CC">
        <w:tc>
          <w:tcPr>
            <w:tcW w:w="1097" w:type="dxa"/>
            <w:shd w:val="clear" w:color="auto" w:fill="auto"/>
          </w:tcPr>
          <w:p w14:paraId="3416AD3B" w14:textId="4C41D606" w:rsidR="006E48EA" w:rsidRPr="000B6B22" w:rsidRDefault="006E48EA">
            <w:pPr>
              <w:pStyle w:val="InstructionsText"/>
              <w:spacing w:after="120"/>
              <w:rPr>
                <w:rStyle w:val="InstructionsTabelleText"/>
                <w:rFonts w:ascii="Times New Roman" w:eastAsia="SimSun" w:hAnsi="Times New Roman"/>
                <w:bCs w:val="0"/>
                <w:sz w:val="24"/>
                <w:szCs w:val="24"/>
                <w:u w:val="single"/>
              </w:rPr>
            </w:pPr>
            <w:r>
              <w:rPr>
                <w:rStyle w:val="InstructionsTabelleText"/>
                <w:rFonts w:ascii="Times New Roman" w:hAnsi="Times New Roman"/>
                <w:sz w:val="24"/>
              </w:rPr>
              <w:t>Γραμμή</w:t>
            </w:r>
          </w:p>
        </w:tc>
        <w:tc>
          <w:tcPr>
            <w:tcW w:w="7125" w:type="dxa"/>
            <w:gridSpan w:val="2"/>
            <w:shd w:val="clear" w:color="auto" w:fill="auto"/>
          </w:tcPr>
          <w:p w14:paraId="65008181" w14:textId="77777777" w:rsidR="006E48EA" w:rsidRPr="000B6B22" w:rsidRDefault="006E48EA">
            <w:pPr>
              <w:pStyle w:val="InstructionsText"/>
              <w:spacing w:after="120"/>
              <w:rPr>
                <w:rStyle w:val="InstructionsTabelleText"/>
                <w:rFonts w:ascii="Times New Roman" w:eastAsia="SimSun" w:hAnsi="Times New Roman"/>
                <w:sz w:val="24"/>
                <w:szCs w:val="24"/>
              </w:rPr>
            </w:pPr>
            <w:r>
              <w:rPr>
                <w:rStyle w:val="InstructionsTabelleText"/>
                <w:rFonts w:ascii="Times New Roman" w:hAnsi="Times New Roman"/>
                <w:sz w:val="24"/>
              </w:rPr>
              <w:t>Νομικά κείμενα αναφοράς και οδηγίες</w:t>
            </w:r>
          </w:p>
        </w:tc>
      </w:tr>
      <w:tr w:rsidR="00B47B7D" w:rsidRPr="000B6B22" w14:paraId="11C208F6" w14:textId="77777777" w:rsidTr="002B73CC">
        <w:tc>
          <w:tcPr>
            <w:tcW w:w="1105" w:type="dxa"/>
            <w:gridSpan w:val="2"/>
            <w:shd w:val="clear" w:color="auto" w:fill="auto"/>
          </w:tcPr>
          <w:p w14:paraId="2B6266A1" w14:textId="4DE0CAF4"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t>0010</w:t>
            </w:r>
          </w:p>
        </w:tc>
        <w:tc>
          <w:tcPr>
            <w:tcW w:w="7117" w:type="dxa"/>
            <w:shd w:val="clear" w:color="auto" w:fill="auto"/>
          </w:tcPr>
          <w:p w14:paraId="7907F73E" w14:textId="77777777" w:rsidR="006E48EA" w:rsidRPr="000B6B22" w:rsidRDefault="006E48EA">
            <w:pPr>
              <w:pStyle w:val="InstructionsText"/>
              <w:spacing w:after="120"/>
              <w:rPr>
                <w:rStyle w:val="FormatvorlageInstructionsTabelleText"/>
                <w:rFonts w:ascii="Times New Roman" w:hAnsi="Times New Roman"/>
                <w:b/>
                <w:sz w:val="24"/>
                <w:szCs w:val="24"/>
              </w:rPr>
            </w:pPr>
            <w:r>
              <w:rPr>
                <w:rStyle w:val="FormatvorlageInstructionsTabelleText"/>
                <w:rFonts w:ascii="Times New Roman" w:hAnsi="Times New Roman"/>
                <w:b/>
                <w:sz w:val="24"/>
              </w:rPr>
              <w:t>1. ΣΥΝΟΛΟ ΜΗ ΠΡΟΣΑΡΜΟΣΜΕΝΩΝ ΡΕΥΣΤΩΝ ΣΤΟΙΧΕΙΩΝ ΕΝΕΡΓΗΤΙΚΟΥ</w:t>
            </w:r>
          </w:p>
          <w:p w14:paraId="6F3ECBE7" w14:textId="74F2E35E" w:rsidR="006E48EA" w:rsidRPr="000B6B22" w:rsidRDefault="006E48EA">
            <w:pPr>
              <w:pStyle w:val="InstructionsText"/>
              <w:spacing w:after="120"/>
              <w:rPr>
                <w:rStyle w:val="FormatvorlageInstructionsTabelleText"/>
                <w:rFonts w:ascii="Times New Roman" w:hAnsi="Times New Roman"/>
                <w:sz w:val="24"/>
                <w:szCs w:val="24"/>
              </w:rPr>
            </w:pPr>
            <w:r>
              <w:rPr>
                <w:rStyle w:val="FormatvorlageInstructionsTabelleText"/>
                <w:rFonts w:ascii="Times New Roman" w:hAnsi="Times New Roman"/>
                <w:sz w:val="24"/>
              </w:rPr>
              <w:t>Τίτλος II του κατ’ εξουσιοδότηση κανονισμού (ΕΕ) 2015/61</w:t>
            </w:r>
          </w:p>
          <w:p w14:paraId="3509EB14" w14:textId="678C2A15" w:rsidR="006E48EA" w:rsidRPr="009D4EFF" w:rsidRDefault="00FB499E">
            <w:pPr>
              <w:pStyle w:val="InstructionsText"/>
              <w:spacing w:after="120"/>
              <w:rPr>
                <w:rStyle w:val="FormatvorlageInstructionsTabelleText"/>
                <w:rFonts w:ascii="Times New Roman" w:hAnsi="Times New Roman"/>
                <w:sz w:val="24"/>
                <w:szCs w:val="24"/>
              </w:rPr>
            </w:pPr>
            <w:r>
              <w:rPr>
                <w:rStyle w:val="FormatvorlageInstructionsTabelleText"/>
                <w:rFonts w:ascii="Times New Roman" w:hAnsi="Times New Roman"/>
                <w:sz w:val="24"/>
              </w:rPr>
              <w:t>Τα πιστωτικά ιδρύματα αναφέρουν το συνολικό ποσό/την αγοραία αξία των ρευστών στοιχείων ενεργητικού τους στη στήλη 0010.</w:t>
            </w:r>
          </w:p>
          <w:p w14:paraId="35016665" w14:textId="0737491D" w:rsidR="006E48EA" w:rsidRPr="000B6B22" w:rsidRDefault="00FB499E">
            <w:pPr>
              <w:pStyle w:val="InstructionsText"/>
              <w:spacing w:after="120"/>
              <w:rPr>
                <w:rStyle w:val="FormatvorlageInstructionsTabelleText"/>
                <w:rFonts w:ascii="Times New Roman" w:hAnsi="Times New Roman"/>
                <w:b/>
                <w:sz w:val="24"/>
                <w:szCs w:val="24"/>
              </w:rPr>
            </w:pPr>
            <w:r>
              <w:rPr>
                <w:rStyle w:val="FormatvorlageInstructionsTabelleText"/>
                <w:rFonts w:ascii="Times New Roman" w:hAnsi="Times New Roman"/>
                <w:sz w:val="24"/>
              </w:rPr>
              <w:t>Τα πιστωτικά ιδρύματα αναφέρουν τη συνολική αξία όπως υπολογίζεται σύμφωνα με το άρθρο 9 των ρευστών στοιχείων ενεργητικού τους στη στήλη 0040.</w:t>
            </w:r>
          </w:p>
        </w:tc>
      </w:tr>
      <w:tr w:rsidR="00B47B7D" w:rsidRPr="000B6B22" w14:paraId="02B44E84" w14:textId="77777777" w:rsidTr="002B73CC">
        <w:tc>
          <w:tcPr>
            <w:tcW w:w="1105" w:type="dxa"/>
            <w:gridSpan w:val="2"/>
            <w:shd w:val="clear" w:color="auto" w:fill="auto"/>
          </w:tcPr>
          <w:p w14:paraId="5BDE77CB" w14:textId="47F7558B"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t>0020</w:t>
            </w:r>
          </w:p>
        </w:tc>
        <w:tc>
          <w:tcPr>
            <w:tcW w:w="7117" w:type="dxa"/>
            <w:shd w:val="clear" w:color="auto" w:fill="auto"/>
          </w:tcPr>
          <w:p w14:paraId="00A689F5" w14:textId="77777777" w:rsidR="006E48EA" w:rsidRPr="000B6B22" w:rsidRDefault="006E48EA">
            <w:pPr>
              <w:pStyle w:val="InstructionsText"/>
              <w:spacing w:after="120"/>
              <w:rPr>
                <w:rStyle w:val="FormatvorlageInstructionsTabelleText"/>
                <w:rFonts w:ascii="Times New Roman" w:hAnsi="Times New Roman"/>
                <w:b/>
                <w:sz w:val="24"/>
                <w:szCs w:val="24"/>
              </w:rPr>
            </w:pPr>
            <w:r>
              <w:rPr>
                <w:rStyle w:val="FormatvorlageInstructionsTabelleText"/>
                <w:rFonts w:ascii="Times New Roman" w:hAnsi="Times New Roman"/>
                <w:b/>
                <w:sz w:val="24"/>
              </w:rPr>
              <w:t>1.1. Σύνολο μη προσαρμοσμένων στοιχείων ενεργητικού επιπέδου 1</w:t>
            </w:r>
          </w:p>
          <w:p w14:paraId="7BC9F4FA" w14:textId="6C857949" w:rsidR="006E48EA" w:rsidRPr="000B6B22" w:rsidRDefault="006E48EA">
            <w:pPr>
              <w:pStyle w:val="InstructionsText"/>
              <w:spacing w:after="120"/>
              <w:rPr>
                <w:rFonts w:cs="Times New Roman"/>
                <w:sz w:val="24"/>
                <w:szCs w:val="24"/>
              </w:rPr>
            </w:pPr>
            <w:r>
              <w:rPr>
                <w:sz w:val="24"/>
              </w:rPr>
              <w:t>Άρθρα 10, 15, 16 και 19 του κατ’ εξουσιοδότηση κανονισμού (ΕΕ) 2015/61</w:t>
            </w:r>
          </w:p>
          <w:p w14:paraId="5202088B" w14:textId="0A6262CF" w:rsidR="006E48EA" w:rsidRPr="000B6B22" w:rsidRDefault="006E48EA">
            <w:pPr>
              <w:pStyle w:val="InstructionsText"/>
              <w:spacing w:after="120"/>
              <w:rPr>
                <w:rFonts w:cs="Times New Roman"/>
                <w:sz w:val="24"/>
                <w:szCs w:val="24"/>
              </w:rPr>
            </w:pPr>
            <w:r>
              <w:rPr>
                <w:rStyle w:val="FormatvorlageInstructionsTabelleText"/>
                <w:rFonts w:ascii="Times New Roman" w:hAnsi="Times New Roman"/>
                <w:sz w:val="24"/>
              </w:rPr>
              <w:t xml:space="preserve">Τα στοιχεία ενεργητικού που αναφέρονται στο παρόν τμήμα έχουν προσδιοριστεί ρητά ως, ή αντιμετωπίζονται ως στοιχεία ενεργητικού επιπέδου 1, σύμφωνα με τον </w:t>
            </w:r>
            <w:r>
              <w:rPr>
                <w:sz w:val="24"/>
              </w:rPr>
              <w:t>κατ’ εξουσιοδότηση κανονισμό (ΕΕ) 2015/61.</w:t>
            </w:r>
          </w:p>
          <w:p w14:paraId="7F520E8A" w14:textId="6EFC9D12" w:rsidR="006E48EA" w:rsidRPr="009D4EFF" w:rsidRDefault="00FB499E">
            <w:pPr>
              <w:pStyle w:val="InstructionsText"/>
              <w:spacing w:after="120"/>
              <w:rPr>
                <w:rStyle w:val="FormatvorlageInstructionsTabelleText"/>
                <w:rFonts w:ascii="Times New Roman" w:hAnsi="Times New Roman"/>
                <w:sz w:val="24"/>
                <w:szCs w:val="24"/>
              </w:rPr>
            </w:pPr>
            <w:r>
              <w:rPr>
                <w:rStyle w:val="FormatvorlageInstructionsTabelleText"/>
                <w:rFonts w:ascii="Times New Roman" w:hAnsi="Times New Roman"/>
                <w:sz w:val="24"/>
              </w:rPr>
              <w:t>Τα πιστωτικά ιδρύματα αναφέρουν το συνολικό ποσό/αγοραία αξία των ρευστών στοιχείων ενεργητικού επιπέδου 1 στη στήλη 0010.</w:t>
            </w:r>
          </w:p>
          <w:p w14:paraId="4A1AD6EE" w14:textId="0EE0B941" w:rsidR="006E48EA" w:rsidRPr="000B6B22" w:rsidRDefault="00FB499E">
            <w:pPr>
              <w:pStyle w:val="InstructionsText"/>
              <w:spacing w:after="120"/>
              <w:rPr>
                <w:rStyle w:val="FormatvorlageInstructionsTabelleText"/>
                <w:rFonts w:ascii="Times New Roman" w:hAnsi="Times New Roman"/>
                <w:b/>
                <w:bCs/>
                <w:sz w:val="24"/>
                <w:szCs w:val="24"/>
              </w:rPr>
            </w:pPr>
            <w:r>
              <w:rPr>
                <w:rStyle w:val="FormatvorlageInstructionsTabelleText"/>
                <w:rFonts w:ascii="Times New Roman" w:hAnsi="Times New Roman"/>
                <w:sz w:val="24"/>
              </w:rPr>
              <w:t>Τα πιστωτικά ιδρύματα αναφέρουν τη συνολική αξία όπως υπολογίζεται σύμφωνα με το άρθρο 9 των ρευστών στοιχείων ενεργητικού τους επιπέδου 1 στη στήλη 0040.</w:t>
            </w:r>
          </w:p>
        </w:tc>
      </w:tr>
      <w:tr w:rsidR="00B47B7D" w:rsidRPr="000B6B22" w14:paraId="530AFC62" w14:textId="77777777" w:rsidTr="002B73CC">
        <w:tc>
          <w:tcPr>
            <w:tcW w:w="1105" w:type="dxa"/>
            <w:gridSpan w:val="2"/>
            <w:shd w:val="clear" w:color="auto" w:fill="auto"/>
          </w:tcPr>
          <w:p w14:paraId="5A34E090" w14:textId="0FAB99B6"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t>0030</w:t>
            </w:r>
          </w:p>
        </w:tc>
        <w:tc>
          <w:tcPr>
            <w:tcW w:w="7117" w:type="dxa"/>
            <w:shd w:val="clear" w:color="auto" w:fill="auto"/>
          </w:tcPr>
          <w:p w14:paraId="3997E083" w14:textId="77777777" w:rsidR="006E48EA" w:rsidRPr="000B6B22" w:rsidRDefault="006E48EA">
            <w:pPr>
              <w:pStyle w:val="InstructionsText"/>
              <w:spacing w:after="120"/>
              <w:rPr>
                <w:rFonts w:cs="Times New Roman"/>
                <w:sz w:val="24"/>
                <w:szCs w:val="24"/>
              </w:rPr>
            </w:pPr>
            <w:r>
              <w:rPr>
                <w:sz w:val="24"/>
              </w:rPr>
              <w:t>1.1.1. Σύνολο μη προσαρμοσμένων στοιχείων ενεργητικού επιπέδου 1, με εξαίρεση τα εξαιρετικά υψηλής ποιότητας καλυμμένα ομόλογα</w:t>
            </w:r>
          </w:p>
          <w:p w14:paraId="33D17879" w14:textId="5E2FA351" w:rsidR="006E48EA" w:rsidRPr="000B6B22" w:rsidRDefault="006E48EA">
            <w:pPr>
              <w:pStyle w:val="InstructionsText"/>
              <w:spacing w:after="120"/>
              <w:rPr>
                <w:rStyle w:val="FormatvorlageInstructionsTabelleText"/>
                <w:rFonts w:ascii="Times New Roman" w:hAnsi="Times New Roman"/>
                <w:bCs/>
                <w:sz w:val="24"/>
                <w:szCs w:val="24"/>
              </w:rPr>
            </w:pPr>
            <w:r>
              <w:rPr>
                <w:sz w:val="24"/>
              </w:rPr>
              <w:t>Άρθρα 10, 15, 16 και 19 του κατ’ εξουσιοδότηση κανονισμού (ΕΕ) 2015/61</w:t>
            </w:r>
          </w:p>
          <w:p w14:paraId="06079932" w14:textId="6B051E0E" w:rsidR="006E48EA" w:rsidRPr="000B6B22" w:rsidRDefault="006E48EA">
            <w:pPr>
              <w:pStyle w:val="InstructionsText"/>
              <w:spacing w:after="120"/>
              <w:rPr>
                <w:rFonts w:cs="Times New Roman"/>
                <w:sz w:val="24"/>
                <w:szCs w:val="24"/>
              </w:rPr>
            </w:pPr>
            <w:r>
              <w:rPr>
                <w:rStyle w:val="FormatvorlageInstructionsTabelleText"/>
                <w:rFonts w:ascii="Times New Roman" w:hAnsi="Times New Roman"/>
                <w:sz w:val="24"/>
              </w:rPr>
              <w:t xml:space="preserve">Τα στοιχεία ενεργητικού που αναφέρονται στο παρόν υποτμήμα έχουν προσδιοριστεί ρητά ως, ή αντιμετωπίζονται ως στοιχεία ενεργητικού επιπέδου 1, σύμφωνα με τον </w:t>
            </w:r>
            <w:r>
              <w:rPr>
                <w:sz w:val="24"/>
              </w:rPr>
              <w:t>κατ’ εξουσιοδότηση κανονισμό (ΕΕ) 2015/61. Τα στοιχεία ενεργητικού και τα υποκείμενα στοιχεία ενεργητικού που χαρακτηρίζονται ως εξαιρετικά υψηλής ποιότητας καλυμμένα ομόλογα όπως αναφέρονται στο άρθρο 10 παράγραφος 1 στοιχείο στ) του κατ’ εξουσιοδότηση κανονισμού (ΕΕ) 2015/61 δεν αναφέρονται στο παρόν υποτμήμα.</w:t>
            </w:r>
          </w:p>
          <w:p w14:paraId="6EE6FC2C" w14:textId="004BEE0A"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u w:val="none"/>
              </w:rPr>
              <w:t>Τα πιστωτικά ιδρύματα αναφέρουν στη στήλη 0010 το άθροισμα της συνολικής αγοραίας αξίας/του ποσού των στοιχείων ενεργητικού επιπέδου 1, με εξαίρεση τα εξαιρετικά υψηλής ποιότητας καλυμμένα ομόλογα, χωρίς να λαμβάνουν υπόψη τις απαιτήσεις του άρθρου 17 του κατ’ εξουσιοδότηση κανονισμού (ΕΕ) 2015/61.</w:t>
            </w:r>
          </w:p>
          <w:p w14:paraId="0E9DB3E4" w14:textId="649936CF" w:rsidR="006E48EA" w:rsidRPr="000B6B22" w:rsidRDefault="006E48EA">
            <w:pPr>
              <w:pStyle w:val="InstructionsText"/>
              <w:spacing w:after="120"/>
              <w:rPr>
                <w:rFonts w:cs="Times New Roman"/>
                <w:sz w:val="24"/>
                <w:szCs w:val="24"/>
              </w:rPr>
            </w:pPr>
            <w:r>
              <w:rPr>
                <w:rStyle w:val="InstructionsTabelleberschrift"/>
                <w:rFonts w:ascii="Times New Roman" w:hAnsi="Times New Roman"/>
                <w:b w:val="0"/>
                <w:sz w:val="24"/>
                <w:u w:val="none"/>
              </w:rPr>
              <w:t xml:space="preserve">Τα πιστωτικά ιδρύματα αναφέρουν στη στήλη 0040 το άθροισμα του συνολικού σταθμισμένου ποσού των στοιχείων ενεργητικού επιπέδου 1, με εξαίρεση τα εξαιρετικά υψηλής ποιότητας καλυμμένα ομόλογα, </w:t>
            </w:r>
            <w:r>
              <w:rPr>
                <w:rStyle w:val="InstructionsTabelleberschrift"/>
                <w:rFonts w:ascii="Times New Roman" w:hAnsi="Times New Roman"/>
                <w:b w:val="0"/>
                <w:sz w:val="24"/>
                <w:u w:val="none"/>
              </w:rPr>
              <w:lastRenderedPageBreak/>
              <w:t>χωρίς να λαμβάνουν υπόψη τις απαιτήσεις του άρθρου 17 του κατ’ εξουσιοδότηση κανονισμού (ΕΕ) 2015/61.</w:t>
            </w:r>
          </w:p>
        </w:tc>
      </w:tr>
      <w:tr w:rsidR="00B47B7D" w:rsidRPr="000B6B22" w14:paraId="53415B35" w14:textId="77777777" w:rsidTr="002B73CC">
        <w:tc>
          <w:tcPr>
            <w:tcW w:w="1097" w:type="dxa"/>
            <w:vAlign w:val="center"/>
          </w:tcPr>
          <w:p w14:paraId="67810B2C" w14:textId="0D95D7F3" w:rsidR="006E48EA" w:rsidRPr="000B6B22" w:rsidRDefault="00575F76">
            <w:pPr>
              <w:spacing w:before="0"/>
              <w:rPr>
                <w:rFonts w:ascii="Times New Roman" w:hAnsi="Times New Roman"/>
                <w:sz w:val="24"/>
              </w:rPr>
            </w:pPr>
            <w:r>
              <w:rPr>
                <w:rFonts w:ascii="Times New Roman" w:hAnsi="Times New Roman"/>
                <w:sz w:val="24"/>
              </w:rPr>
              <w:lastRenderedPageBreak/>
              <w:t>0040</w:t>
            </w:r>
          </w:p>
        </w:tc>
        <w:tc>
          <w:tcPr>
            <w:tcW w:w="7125" w:type="dxa"/>
            <w:gridSpan w:val="2"/>
          </w:tcPr>
          <w:p w14:paraId="5C969370"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u w:val="none"/>
              </w:rPr>
              <w:t>1.1.1.1. Κέρματα και τραπεζογραμμάτια</w:t>
            </w:r>
          </w:p>
          <w:p w14:paraId="68BF0307" w14:textId="34A3D0A9" w:rsidR="006E48EA" w:rsidRPr="000B6B22" w:rsidRDefault="00223992">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t xml:space="preserve">Άρθρο 10 παράγραφος 1 στοιχείο α) του </w:t>
            </w:r>
            <w:r>
              <w:rPr>
                <w:sz w:val="24"/>
              </w:rPr>
              <w:t>κατ’ εξουσιοδότηση κανονισμού (ΕΕ) 2015/61</w:t>
            </w:r>
          </w:p>
          <w:p w14:paraId="7A741B1F" w14:textId="64D8A1FA"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t>Το συνολικό ποσό μετρητών που προκύπτει από κέρματα και χαρτονομίσματα.</w:t>
            </w:r>
          </w:p>
        </w:tc>
      </w:tr>
      <w:tr w:rsidR="00B47B7D" w:rsidRPr="000B6B22" w14:paraId="756B0568" w14:textId="77777777" w:rsidTr="002B73CC">
        <w:tc>
          <w:tcPr>
            <w:tcW w:w="1097" w:type="dxa"/>
            <w:vAlign w:val="center"/>
          </w:tcPr>
          <w:p w14:paraId="0D54DD18" w14:textId="778CD1A0" w:rsidR="006E48EA" w:rsidRPr="000B6B22" w:rsidRDefault="00575F76">
            <w:pPr>
              <w:spacing w:before="0"/>
              <w:rPr>
                <w:rFonts w:ascii="Times New Roman" w:hAnsi="Times New Roman"/>
                <w:sz w:val="24"/>
              </w:rPr>
            </w:pPr>
            <w:r>
              <w:rPr>
                <w:rFonts w:ascii="Times New Roman" w:hAnsi="Times New Roman"/>
                <w:sz w:val="24"/>
              </w:rPr>
              <w:t>0050</w:t>
            </w:r>
          </w:p>
        </w:tc>
        <w:tc>
          <w:tcPr>
            <w:tcW w:w="7125" w:type="dxa"/>
            <w:gridSpan w:val="2"/>
          </w:tcPr>
          <w:p w14:paraId="0BB29739"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u w:val="none"/>
              </w:rPr>
              <w:t>1.1.1.2. Αναλήψιμα αποθεματικά της κεντρικής τράπεζας</w:t>
            </w:r>
          </w:p>
          <w:p w14:paraId="48ECC62E" w14:textId="5CEFADCB" w:rsidR="006E48EA" w:rsidRPr="000B6B22" w:rsidRDefault="00223992">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t xml:space="preserve">Άρθρο 10 παράγραφος 1 στοιχείο β) σημείο iii) του </w:t>
            </w:r>
            <w:r>
              <w:rPr>
                <w:sz w:val="24"/>
              </w:rPr>
              <w:t>κατ’ εξουσιοδότηση κανονισμού (ΕΕ) 2015/61</w:t>
            </w:r>
          </w:p>
          <w:p w14:paraId="1405DAC5" w14:textId="65CADA8C"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t>Το συνολικό ποσό των αποθεμάτων που είναι αναλήψιμα ανά πάσα στιγμή σε περιόδους ακραίων καταστάσεων, τα οποία διατηρούνται από το πιστωτικό ίδρυμα στην ΕΚΤ, σε κεντρική τράπεζα κράτους μέλους ή στην κεντρική τράπεζα τρίτης χώρας, υπό τον όρο ότι τα ανοίγματα έναντι της κεντρικής τράπεζας ή της κεντρικής κυβέρνησης τρίτης χώρας έχουν πιστοληπτική αξιολόγηση από εντεταλμένο εξωτερικό οργανισμό πιστοληπτικής αξιολόγησης (ΕΟΠΑ), η οποία είναι τουλάχιστον βαθμίδας πιστωτικής ποιότητας 1, σύμφωνα με το άρθρο 114 παράγραφος 2 του κανονισμού (ΕΕ) αριθ. 575/2013.</w:t>
            </w:r>
          </w:p>
          <w:p w14:paraId="7148156E" w14:textId="322F07D3"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t xml:space="preserve">Το επιλέξιμο αναλήψιμο ποσό καθορίζεται βάσει συμφωνίας μεταξύ της αρμόδιας αρχής του πιστωτικού ιδρύματος και της κεντρικής τράπεζας στην οποία διατηρούνται τα αποθεματικά ή στους εφαρμοστέους κανόνες της τρίτης χώρας, όπως αναφέρεται στο άρθρο 10 παράγραφος 1 στοιχείο β) σημείο iii) του </w:t>
            </w:r>
            <w:r>
              <w:rPr>
                <w:sz w:val="24"/>
              </w:rPr>
              <w:t>κατ’ εξουσιοδότηση κανονισμού (ΕΕ) 2015/61.</w:t>
            </w:r>
          </w:p>
        </w:tc>
      </w:tr>
      <w:tr w:rsidR="00B47B7D" w:rsidRPr="000B6B22" w14:paraId="2BAD87BD" w14:textId="77777777" w:rsidTr="002B73CC">
        <w:tc>
          <w:tcPr>
            <w:tcW w:w="1097" w:type="dxa"/>
            <w:vAlign w:val="center"/>
          </w:tcPr>
          <w:p w14:paraId="25BB6F14" w14:textId="171872E0" w:rsidR="006E48EA" w:rsidRPr="000B6B22" w:rsidRDefault="00575F76">
            <w:pPr>
              <w:spacing w:before="0"/>
              <w:rPr>
                <w:rFonts w:ascii="Times New Roman" w:hAnsi="Times New Roman"/>
                <w:sz w:val="24"/>
              </w:rPr>
            </w:pPr>
            <w:r>
              <w:rPr>
                <w:rFonts w:ascii="Times New Roman" w:hAnsi="Times New Roman"/>
                <w:sz w:val="24"/>
              </w:rPr>
              <w:t>0060</w:t>
            </w:r>
          </w:p>
        </w:tc>
        <w:tc>
          <w:tcPr>
            <w:tcW w:w="7125" w:type="dxa"/>
            <w:gridSpan w:val="2"/>
          </w:tcPr>
          <w:p w14:paraId="22A11554"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u w:val="none"/>
              </w:rPr>
              <w:t>1.1.1.3. Στοιχεία ενεργητικού κεντρικής τράπεζας</w:t>
            </w:r>
          </w:p>
          <w:p w14:paraId="2169F27D" w14:textId="514BF0C2" w:rsidR="006E48EA" w:rsidRPr="000B6B22" w:rsidRDefault="00485545">
            <w:pPr>
              <w:pStyle w:val="InstructionsText"/>
              <w:spacing w:after="120"/>
              <w:rPr>
                <w:rFonts w:cs="Times New Roman"/>
                <w:sz w:val="24"/>
                <w:szCs w:val="24"/>
              </w:rPr>
            </w:pPr>
            <w:r>
              <w:rPr>
                <w:rStyle w:val="InstructionsTabelleberschrift"/>
                <w:rFonts w:ascii="Times New Roman" w:hAnsi="Times New Roman"/>
                <w:b w:val="0"/>
                <w:sz w:val="24"/>
                <w:u w:val="none"/>
              </w:rPr>
              <w:t xml:space="preserve">Άρθρο 10 παράγραφος 1 στοιχείο β) σημεία i) και ii) </w:t>
            </w:r>
            <w:r>
              <w:rPr>
                <w:rStyle w:val="FormatvorlageInstructionsTabelleText"/>
                <w:rFonts w:ascii="Times New Roman" w:hAnsi="Times New Roman"/>
                <w:sz w:val="24"/>
              </w:rPr>
              <w:t xml:space="preserve">του </w:t>
            </w:r>
            <w:r>
              <w:rPr>
                <w:sz w:val="24"/>
              </w:rPr>
              <w:t>κατ’ εξουσιοδότηση κανονισμού (ΕΕ) 2015/61</w:t>
            </w:r>
          </w:p>
          <w:p w14:paraId="46C91814" w14:textId="2955E824" w:rsidR="006E48EA" w:rsidRPr="000B6B22" w:rsidRDefault="006E48EA">
            <w:pPr>
              <w:pStyle w:val="InstructionsText"/>
              <w:spacing w:after="120"/>
              <w:rPr>
                <w:rStyle w:val="InstructionsTabelleberschrift"/>
                <w:rFonts w:ascii="Times New Roman" w:hAnsi="Times New Roman"/>
                <w:bCs/>
                <w:sz w:val="24"/>
                <w:szCs w:val="24"/>
              </w:rPr>
            </w:pPr>
            <w:r>
              <w:rPr>
                <w:rStyle w:val="FormatvorlageInstructionsTabelleText"/>
                <w:rFonts w:ascii="Times New Roman" w:hAnsi="Times New Roman"/>
                <w:sz w:val="24"/>
              </w:rPr>
              <w:t>Στοιχεία ενεργητικού που αντιστοιχούν σε απαιτήσεις έναντι ή απαιτήσεις καλυπτόμενες από την εγγύηση της ΕΚΤ, κεντρικής τράπεζας κράτους μέλους ή της κεντρικής τράπεζας τρίτης χώρας, εφόσον τα ανοίγματα έναντι της κεντρικής τράπεζας ή της κεντρικής κυβέρνησης τρίτης χώρας έχουν πιστοληπτική αξιολόγηση από εντεταλμένο ΕΟΠΑ, η οποία είναι τουλάχιστον βαθμίδας πιστωτικής ποιότητας 1, σύμφωνα με το άρθρο 114 παράγραφος 2 του κανονισμού (ΕΕ) αριθ. 575/2013.</w:t>
            </w:r>
          </w:p>
        </w:tc>
      </w:tr>
      <w:tr w:rsidR="00B47B7D" w:rsidRPr="000B6B22" w14:paraId="1A54302E" w14:textId="77777777" w:rsidTr="002B73CC">
        <w:tc>
          <w:tcPr>
            <w:tcW w:w="1097" w:type="dxa"/>
            <w:vAlign w:val="center"/>
          </w:tcPr>
          <w:p w14:paraId="3B3D3AA6" w14:textId="5C2CEE8C" w:rsidR="006E48EA" w:rsidRPr="000B6B22" w:rsidRDefault="00575F76">
            <w:pPr>
              <w:spacing w:before="0"/>
              <w:rPr>
                <w:rFonts w:ascii="Times New Roman" w:hAnsi="Times New Roman"/>
                <w:sz w:val="24"/>
              </w:rPr>
            </w:pPr>
            <w:r>
              <w:rPr>
                <w:rFonts w:ascii="Times New Roman" w:hAnsi="Times New Roman"/>
                <w:sz w:val="24"/>
              </w:rPr>
              <w:t>0070</w:t>
            </w:r>
          </w:p>
        </w:tc>
        <w:tc>
          <w:tcPr>
            <w:tcW w:w="7125" w:type="dxa"/>
            <w:gridSpan w:val="2"/>
          </w:tcPr>
          <w:p w14:paraId="36FFB5BE"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u w:val="none"/>
              </w:rPr>
              <w:t>1.1.1.4. Στοιχεία ενεργητικού κεντρικής κυβέρνησης</w:t>
            </w:r>
          </w:p>
          <w:p w14:paraId="650673B2" w14:textId="5FB76A5E" w:rsidR="006E48EA" w:rsidRPr="000B6B22" w:rsidRDefault="00485545">
            <w:pPr>
              <w:pStyle w:val="InstructionsText"/>
              <w:spacing w:after="120"/>
              <w:rPr>
                <w:rStyle w:val="FormatvorlageInstructionsTabelleText"/>
                <w:rFonts w:ascii="Times New Roman" w:hAnsi="Times New Roman"/>
                <w:bCs/>
                <w:sz w:val="24"/>
                <w:szCs w:val="24"/>
              </w:rPr>
            </w:pPr>
            <w:r>
              <w:rPr>
                <w:rStyle w:val="InstructionsTabelleberschrift"/>
                <w:rFonts w:ascii="Times New Roman" w:hAnsi="Times New Roman"/>
                <w:b w:val="0"/>
                <w:sz w:val="24"/>
                <w:u w:val="none"/>
              </w:rPr>
              <w:t xml:space="preserve">Άρθρο 10 παράγραφος 1 στοιχείο γ) σημεία i) και ii) </w:t>
            </w:r>
            <w:r>
              <w:rPr>
                <w:rStyle w:val="FormatvorlageInstructionsTabelleText"/>
                <w:rFonts w:ascii="Times New Roman" w:hAnsi="Times New Roman"/>
                <w:sz w:val="24"/>
              </w:rPr>
              <w:t xml:space="preserve">του </w:t>
            </w:r>
            <w:r>
              <w:rPr>
                <w:sz w:val="24"/>
              </w:rPr>
              <w:t>κατ’ εξουσιοδότηση κανονισμού (ΕΕ) 2015/61</w:t>
            </w:r>
          </w:p>
          <w:p w14:paraId="38CCFA3C" w14:textId="1A788852"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t xml:space="preserve">Στοιχεία ενεργητικού που αντιστοιχούν σε απαιτήσεις έναντι ή απαιτήσεις καλυπτόμενες από την εγγύηση της κεντρικής κυβέρνησης κράτους μέλους ή κεντρικής κυβέρνησης τρίτης χώρας, εφόσον τα εν λόγω στοιχεία ενεργητικού έχουν πιστοληπτική αξιολόγηση από εντεταλμένο ΕΟΠΑ, η οποία είναι τουλάχιστον βαθμίδας πιστωτικής </w:t>
            </w:r>
            <w:r>
              <w:rPr>
                <w:rStyle w:val="FormatvorlageInstructionsTabelleText"/>
                <w:rFonts w:ascii="Times New Roman" w:hAnsi="Times New Roman"/>
                <w:sz w:val="24"/>
              </w:rPr>
              <w:lastRenderedPageBreak/>
              <w:t>ποιότητας 1, σύμφωνα με το άρθρο 114 παράγραφος 2 του κανονισμού (ΕΕ) αριθ. 575/2013.</w:t>
            </w:r>
          </w:p>
          <w:p w14:paraId="211C5F6F" w14:textId="1D12620C"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t>Τα στοιχεία ενεργητικού που εκδίδονται από πιστωτικά ιδρύματα τα οποία καλύπτονται από εγγύηση της κεντρικής κυβέρνησης κράτους μέλους σύμφωνα με το άρθρο 35 του κατ’ εξουσιοδότηση κανονισμού (ΕΕ) 2015/61 αναφέρονται στην παρούσα γραμμή.</w:t>
            </w:r>
          </w:p>
          <w:p w14:paraId="26DA2899" w14:textId="654818EF" w:rsidR="006E48EA" w:rsidRPr="000B6B22" w:rsidRDefault="006E48EA">
            <w:pPr>
              <w:pStyle w:val="InstructionsText"/>
              <w:spacing w:after="120"/>
              <w:rPr>
                <w:rStyle w:val="InstructionsTabelleberschrift"/>
                <w:rFonts w:ascii="Times New Roman" w:hAnsi="Times New Roman"/>
                <w:bCs/>
                <w:sz w:val="24"/>
                <w:szCs w:val="24"/>
              </w:rPr>
            </w:pPr>
            <w:r>
              <w:rPr>
                <w:rStyle w:val="FormatvorlageInstructionsTabelleText"/>
                <w:rFonts w:ascii="Times New Roman" w:hAnsi="Times New Roman"/>
                <w:sz w:val="24"/>
              </w:rPr>
              <w:t>Στοιχεία ενεργητικού που εκδίδονται από φορείς διαχείρισης απομειωμένων στοιχείων ενεργητικού που επιχορηγούνται από κράτος μέλος, όπως αναφέρεται στο άρθρο 36 του κατ’ εξουσιοδότηση κανονισμού (ΕΕ) 2015/61, αναφέρονται στην παρούσα γραμμή.</w:t>
            </w:r>
          </w:p>
        </w:tc>
      </w:tr>
      <w:tr w:rsidR="00B47B7D" w:rsidRPr="000B6B22" w14:paraId="358F5F98" w14:textId="77777777" w:rsidTr="002B73CC">
        <w:tc>
          <w:tcPr>
            <w:tcW w:w="1097" w:type="dxa"/>
            <w:vAlign w:val="center"/>
          </w:tcPr>
          <w:p w14:paraId="2AC909D6" w14:textId="0C6EBEF2" w:rsidR="006E48EA" w:rsidRPr="000B6B22" w:rsidRDefault="00720B9F">
            <w:pPr>
              <w:spacing w:before="0"/>
              <w:rPr>
                <w:rFonts w:ascii="Times New Roman" w:hAnsi="Times New Roman"/>
                <w:sz w:val="24"/>
              </w:rPr>
            </w:pPr>
            <w:r>
              <w:rPr>
                <w:rFonts w:ascii="Times New Roman" w:hAnsi="Times New Roman"/>
                <w:sz w:val="24"/>
              </w:rPr>
              <w:lastRenderedPageBreak/>
              <w:t>0080</w:t>
            </w:r>
          </w:p>
        </w:tc>
        <w:tc>
          <w:tcPr>
            <w:tcW w:w="7125" w:type="dxa"/>
            <w:gridSpan w:val="2"/>
          </w:tcPr>
          <w:p w14:paraId="7D8B2843"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u w:val="none"/>
              </w:rPr>
              <w:t>1.1.1.5. Στοιχεία ενεργητικού περιφερειακής κυβέρνησης / τοπικών αρχών</w:t>
            </w:r>
          </w:p>
          <w:p w14:paraId="029EC914" w14:textId="43AC4CAA" w:rsidR="006E48EA" w:rsidRPr="000B6B22" w:rsidRDefault="00485545">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u w:val="none"/>
              </w:rPr>
              <w:t xml:space="preserve">Άρθρο 10 παράγραφος 1 στοιχείο γ) σημεία iii) και iv) </w:t>
            </w:r>
            <w:r>
              <w:rPr>
                <w:rStyle w:val="FormatvorlageInstructionsTabelleText"/>
                <w:rFonts w:ascii="Times New Roman" w:hAnsi="Times New Roman"/>
                <w:sz w:val="24"/>
              </w:rPr>
              <w:t xml:space="preserve">του </w:t>
            </w:r>
            <w:r>
              <w:rPr>
                <w:sz w:val="24"/>
              </w:rPr>
              <w:t>κατ’ εξουσιοδότηση κανονισμού (ΕΕ) 2015/61</w:t>
            </w:r>
          </w:p>
          <w:p w14:paraId="032BF348" w14:textId="77777777" w:rsidR="006E48EA" w:rsidRPr="000B6B22" w:rsidRDefault="006E48EA">
            <w:pPr>
              <w:pStyle w:val="InstructionsText"/>
              <w:spacing w:after="120"/>
              <w:rPr>
                <w:rStyle w:val="FormatvorlageInstructionsTabelleText"/>
                <w:rFonts w:ascii="Times New Roman" w:hAnsi="Times New Roman"/>
                <w:bCs/>
                <w:sz w:val="24"/>
                <w:szCs w:val="24"/>
              </w:rPr>
            </w:pPr>
            <w:r>
              <w:rPr>
                <w:rStyle w:val="InstructionsTabelleberschrift"/>
                <w:rFonts w:ascii="Times New Roman" w:hAnsi="Times New Roman"/>
                <w:b w:val="0"/>
                <w:sz w:val="24"/>
                <w:u w:val="none"/>
              </w:rPr>
              <w:t xml:space="preserve">Τα στοιχεία ενεργητικού </w:t>
            </w:r>
            <w:r>
              <w:rPr>
                <w:rStyle w:val="FormatvorlageInstructionsTabelleText"/>
                <w:rFonts w:ascii="Times New Roman" w:hAnsi="Times New Roman"/>
                <w:sz w:val="24"/>
              </w:rPr>
              <w:t>που αντιστοιχούν σε απαιτήσεις ή καλύπτονται από την εγγύηση περιφερειακών κυβερνήσεων ή τοπικών αρχών κράτους μέλους, εφόσον αντιμετωπίζονται ως ανοίγματα έναντι της κεντρικής κυβέρνησης του κράτους μέλους, σύμφωνα με το άρθρο 115 παράγραφος 2 του κανονισμού (ΕΕ) αριθ. 575/2013.</w:t>
            </w:r>
          </w:p>
          <w:p w14:paraId="2B60D552" w14:textId="1BDC5521" w:rsidR="006E48EA" w:rsidRPr="000B6B22" w:rsidRDefault="006E48EA">
            <w:pPr>
              <w:pStyle w:val="InstructionsText"/>
              <w:spacing w:after="120"/>
              <w:rPr>
                <w:rStyle w:val="FormatvorlageInstructionsTabelleText"/>
                <w:rFonts w:ascii="Times New Roman" w:hAnsi="Times New Roman"/>
                <w:bCs/>
                <w:sz w:val="24"/>
                <w:szCs w:val="24"/>
              </w:rPr>
            </w:pPr>
            <w:r>
              <w:rPr>
                <w:rStyle w:val="InstructionsTabelleberschrift"/>
                <w:rFonts w:ascii="Times New Roman" w:hAnsi="Times New Roman"/>
                <w:b w:val="0"/>
                <w:sz w:val="24"/>
              </w:rPr>
              <w:t xml:space="preserve">Στοιχεία ενεργητικού </w:t>
            </w:r>
            <w:r>
              <w:rPr>
                <w:rStyle w:val="FormatvorlageInstructionsTabelleText"/>
                <w:rFonts w:ascii="Times New Roman" w:hAnsi="Times New Roman"/>
                <w:sz w:val="24"/>
              </w:rPr>
              <w:t>που αντιστοιχούν σε απαιτήσεις ή καλύπτονται από την εγγύηση περιφερειακών κυβερνήσεων ή τοπικών αρχών τρίτης χώρας, που έχουν πιστοληπτική αξιολόγηση από εντεταλμένο ΕΟΠΑ η οποία είναι τουλάχιστον βαθμίδας πιστωτικής ποιότητας 1, σύμφωνα με το άρθρο 114 παράγραφος 2 του κανονισμού (ΕΕ) αριθ. 575/2013, και εφόσον αντιμετωπίζονται ως ανοίγματα έναντι της κεντρικής κυβέρνησης της τρίτης χώρας, σύμφωνα με το άρθρο 115 παράγραφος 4 του κανονισμού (ΕΕ) αριθ. 575/2013.</w:t>
            </w:r>
          </w:p>
          <w:p w14:paraId="4329CC4C" w14:textId="19F179F8" w:rsidR="006E48EA" w:rsidRPr="000B6B22" w:rsidRDefault="006E48EA">
            <w:pPr>
              <w:pStyle w:val="InstructionsText"/>
              <w:spacing w:after="120"/>
              <w:rPr>
                <w:rStyle w:val="InstructionsTabelleberschrift"/>
                <w:rFonts w:ascii="Times New Roman" w:hAnsi="Times New Roman"/>
                <w:bCs/>
                <w:sz w:val="24"/>
                <w:szCs w:val="24"/>
              </w:rPr>
            </w:pPr>
            <w:r>
              <w:rPr>
                <w:rStyle w:val="FormatvorlageInstructionsTabelleText"/>
                <w:rFonts w:ascii="Times New Roman" w:hAnsi="Times New Roman"/>
                <w:sz w:val="24"/>
              </w:rPr>
              <w:t>Τα στοιχεία ενεργητικού που εκδίδονται από πιστωτικά ιδρύματα τα οποία καλύπτονται από εγγύηση περιφερειακής κυβέρνησης ή τοπικής αρχής κράτους μέλους σύμφωνα με το άρθρο 35 του κατ’ εξουσιοδότηση κανονισμού (ΕΕ) 2015/61 αναφέρονται στην παρούσα γραμμή.</w:t>
            </w:r>
          </w:p>
        </w:tc>
      </w:tr>
      <w:tr w:rsidR="00B47B7D" w:rsidRPr="000B6B22" w14:paraId="1B663B0C" w14:textId="77777777" w:rsidTr="002B73CC">
        <w:tc>
          <w:tcPr>
            <w:tcW w:w="1097" w:type="dxa"/>
            <w:vAlign w:val="center"/>
          </w:tcPr>
          <w:p w14:paraId="585317D8" w14:textId="5E88232D" w:rsidR="006E48EA" w:rsidRPr="000B6B22" w:rsidRDefault="00720B9F">
            <w:pPr>
              <w:spacing w:before="0"/>
              <w:rPr>
                <w:rFonts w:ascii="Times New Roman" w:hAnsi="Times New Roman"/>
                <w:sz w:val="24"/>
              </w:rPr>
            </w:pPr>
            <w:r>
              <w:rPr>
                <w:rFonts w:ascii="Times New Roman" w:hAnsi="Times New Roman"/>
                <w:sz w:val="24"/>
              </w:rPr>
              <w:t>0090</w:t>
            </w:r>
          </w:p>
        </w:tc>
        <w:tc>
          <w:tcPr>
            <w:tcW w:w="7125" w:type="dxa"/>
            <w:gridSpan w:val="2"/>
          </w:tcPr>
          <w:p w14:paraId="06C69A34"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u w:val="none"/>
              </w:rPr>
              <w:t>1.1.1.6. Στοιχεία ενεργητικού οντοτήτων του δημόσιου τομέα</w:t>
            </w:r>
          </w:p>
          <w:p w14:paraId="68ADA6CC" w14:textId="5FE0DD35" w:rsidR="006E48EA" w:rsidRPr="000B6B22" w:rsidRDefault="00485545">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u w:val="none"/>
              </w:rPr>
              <w:t>Άρθρο 10 παράγραφος 1 στοιχείο γ) σημεία v) και vi)</w:t>
            </w:r>
            <w:r>
              <w:rPr>
                <w:rStyle w:val="FormatvorlageInstructionsTabelleText"/>
                <w:rFonts w:ascii="Times New Roman" w:hAnsi="Times New Roman"/>
                <w:sz w:val="24"/>
              </w:rPr>
              <w:t xml:space="preserve"> του </w:t>
            </w:r>
            <w:r>
              <w:rPr>
                <w:sz w:val="24"/>
              </w:rPr>
              <w:t>κατ’ εξουσιοδότηση κανονισμού (ΕΕ) 2015/61</w:t>
            </w:r>
          </w:p>
          <w:p w14:paraId="68E4C124" w14:textId="4D5C218D" w:rsidR="006E48EA" w:rsidRPr="000B6B22" w:rsidRDefault="006E48EA">
            <w:pPr>
              <w:pStyle w:val="InstructionsText"/>
              <w:spacing w:after="120"/>
              <w:rPr>
                <w:rStyle w:val="FormatvorlageInstructionsTabelleText"/>
                <w:rFonts w:ascii="Times New Roman" w:hAnsi="Times New Roman"/>
                <w:bCs/>
                <w:sz w:val="24"/>
                <w:szCs w:val="24"/>
              </w:rPr>
            </w:pPr>
            <w:r>
              <w:rPr>
                <w:rStyle w:val="InstructionsTabelleberschrift"/>
                <w:rFonts w:ascii="Times New Roman" w:hAnsi="Times New Roman"/>
                <w:b w:val="0"/>
                <w:sz w:val="24"/>
                <w:u w:val="none"/>
              </w:rPr>
              <w:t xml:space="preserve">Στοιχεία ενεργητικού </w:t>
            </w:r>
            <w:r>
              <w:rPr>
                <w:rStyle w:val="FormatvorlageInstructionsTabelleText"/>
                <w:rFonts w:ascii="Times New Roman" w:hAnsi="Times New Roman"/>
                <w:sz w:val="24"/>
              </w:rPr>
              <w:t>που αντιπροσωπεύουν απαιτήσεις ή καλύπτονται από εγγύηση οντοτήτων του δημόσιου τομέα σε κράτος μέλος ή σε τρίτη χώρα, εφόσον τα εν λόγω στοιχεία ενεργητικού αντιμετωπίζονται ως ανοίγματα έναντι της κεντρικής κυβέρνησης, των περιφερειακών κυβερνήσεων ή τοπικών αρχών αυτού του κράτους μέλους ή της τρίτης χώρας, σύμφωνα με το άρθρο 116 παράγραφος 4 του κανονισμού (ΕΕ) αριθ. 575/2013.</w:t>
            </w:r>
          </w:p>
          <w:p w14:paraId="77D1C8CF" w14:textId="50932A59"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t xml:space="preserve">Κάθε άνοιγμα έναντι κεντρικής κυβέρνησης τρίτης χώρας που αναφέρεται σε προηγούμενη παράγραφο πρέπει να έχει πιστοληπτική αξιολόγηση από εντεταλμένο ΕΟΠΑ η οποία είναι τουλάχιστον </w:t>
            </w:r>
            <w:r>
              <w:rPr>
                <w:rStyle w:val="FormatvorlageInstructionsTabelleText"/>
                <w:rFonts w:ascii="Times New Roman" w:hAnsi="Times New Roman"/>
                <w:sz w:val="24"/>
              </w:rPr>
              <w:lastRenderedPageBreak/>
              <w:t>βαθμίδας πιστωτικής ποιότητας 1, σύμφωνα με το άρθρο 114 παράγραφος 2 του κανονισμού (ΕΕ) αριθ. 575/2013.</w:t>
            </w:r>
          </w:p>
          <w:p w14:paraId="02BCADDA" w14:textId="54106C4A" w:rsidR="006E48EA" w:rsidRPr="000B6B22" w:rsidRDefault="006E48EA">
            <w:pPr>
              <w:pStyle w:val="InstructionsText"/>
              <w:spacing w:after="120"/>
              <w:rPr>
                <w:rStyle w:val="InstructionsTabelleberschrift"/>
                <w:rFonts w:ascii="Times New Roman" w:hAnsi="Times New Roman"/>
                <w:bCs/>
                <w:sz w:val="24"/>
                <w:szCs w:val="24"/>
              </w:rPr>
            </w:pPr>
            <w:r>
              <w:rPr>
                <w:rStyle w:val="FormatvorlageInstructionsTabelleText"/>
                <w:rFonts w:ascii="Times New Roman" w:hAnsi="Times New Roman"/>
                <w:sz w:val="24"/>
              </w:rPr>
              <w:t>Κάθε άνοιγμα έναντι περιφερειακής κυβέρνησης ή τοπικής αρχής τρίτης χώρας που αναφέρεται στο παρόν υποτμήμα αντιμετωπίζεται ως άνοιγμα έναντι της κεντρικής κυβέρνησης της τρίτης χώρας, σύμφωνα με το άρθρο 115 παράγραφος 4 του κανονισμού (ΕΕ) αριθ. 575/2013.</w:t>
            </w:r>
          </w:p>
        </w:tc>
      </w:tr>
      <w:tr w:rsidR="00B47B7D" w:rsidRPr="000B6B22" w14:paraId="77CADE9C" w14:textId="77777777" w:rsidTr="002B73CC">
        <w:tc>
          <w:tcPr>
            <w:tcW w:w="1097" w:type="dxa"/>
            <w:vAlign w:val="center"/>
          </w:tcPr>
          <w:p w14:paraId="3BF3ED57" w14:textId="0610CE83" w:rsidR="006E48EA" w:rsidRPr="000B6B22" w:rsidRDefault="00720B9F">
            <w:pPr>
              <w:spacing w:before="0"/>
              <w:rPr>
                <w:rFonts w:ascii="Times New Roman" w:hAnsi="Times New Roman"/>
                <w:sz w:val="24"/>
              </w:rPr>
            </w:pPr>
            <w:r>
              <w:rPr>
                <w:rFonts w:ascii="Times New Roman" w:hAnsi="Times New Roman"/>
                <w:sz w:val="24"/>
              </w:rPr>
              <w:lastRenderedPageBreak/>
              <w:t>0100</w:t>
            </w:r>
          </w:p>
        </w:tc>
        <w:tc>
          <w:tcPr>
            <w:tcW w:w="7125" w:type="dxa"/>
            <w:gridSpan w:val="2"/>
          </w:tcPr>
          <w:p w14:paraId="454B4362" w14:textId="15173AE3" w:rsidR="006E48EA" w:rsidRPr="000B6B22" w:rsidRDefault="006E48EA">
            <w:pPr>
              <w:pStyle w:val="InstructionsText"/>
              <w:spacing w:after="120"/>
              <w:rPr>
                <w:rStyle w:val="InstructionsTabelleberschrift"/>
                <w:rFonts w:ascii="Times New Roman" w:hAnsi="Times New Roman"/>
                <w:b w:val="0"/>
                <w:bCs/>
                <w:sz w:val="24"/>
                <w:szCs w:val="24"/>
              </w:rPr>
            </w:pPr>
            <w:r>
              <w:rPr>
                <w:rStyle w:val="InstructionsTabelleberschrift"/>
                <w:rFonts w:ascii="Times New Roman" w:hAnsi="Times New Roman"/>
                <w:sz w:val="24"/>
                <w:u w:val="none"/>
              </w:rPr>
              <w:t>1.1.1.7. Αναγνωρίσιμα στοιχεία ενεργητικού σε εθνικό και ξένο νόμισμα της κεντρικής κυβέρνησης και της κεντρικής τράπεζας</w:t>
            </w:r>
          </w:p>
          <w:p w14:paraId="7364CE28" w14:textId="62D58994" w:rsidR="006E48EA" w:rsidRPr="000B6B22" w:rsidRDefault="00485545">
            <w:pPr>
              <w:pStyle w:val="InstructionsText"/>
              <w:spacing w:after="120"/>
              <w:rPr>
                <w:rStyle w:val="InstructionsTabelleberschrift"/>
                <w:rFonts w:ascii="Times New Roman" w:hAnsi="Times New Roman"/>
                <w:b w:val="0"/>
                <w:sz w:val="24"/>
                <w:szCs w:val="24"/>
              </w:rPr>
            </w:pPr>
            <w:r>
              <w:rPr>
                <w:rStyle w:val="InstructionsTabelleberschrift"/>
                <w:rFonts w:ascii="Times New Roman" w:hAnsi="Times New Roman"/>
                <w:b w:val="0"/>
                <w:sz w:val="24"/>
                <w:u w:val="none"/>
              </w:rPr>
              <w:t xml:space="preserve">Άρθρο 10 παράγραφος 1 στοιχείο δ) </w:t>
            </w:r>
            <w:r>
              <w:rPr>
                <w:rStyle w:val="FormatvorlageInstructionsTabelleText"/>
                <w:rFonts w:ascii="Times New Roman" w:hAnsi="Times New Roman"/>
                <w:sz w:val="24"/>
              </w:rPr>
              <w:t xml:space="preserve">του </w:t>
            </w:r>
            <w:r>
              <w:rPr>
                <w:sz w:val="24"/>
              </w:rPr>
              <w:t>κατ’ εξουσιοδότηση κανονισμού (ΕΕ) 2015/61</w:t>
            </w:r>
          </w:p>
          <w:p w14:paraId="77EE456C" w14:textId="50793805" w:rsidR="006E48EA" w:rsidRPr="009D4EFF" w:rsidRDefault="006E48EA">
            <w:pPr>
              <w:pStyle w:val="InstructionsText"/>
              <w:spacing w:after="120"/>
              <w:rPr>
                <w:rStyle w:val="InstructionsTabelleberschrift"/>
                <w:rFonts w:ascii="Times New Roman" w:hAnsi="Times New Roman"/>
                <w:b w:val="0"/>
                <w:sz w:val="24"/>
                <w:szCs w:val="24"/>
                <w:u w:val="none"/>
              </w:rPr>
            </w:pPr>
            <w:r>
              <w:rPr>
                <w:rStyle w:val="InstructionsTabelleberschrift"/>
                <w:rFonts w:ascii="Times New Roman" w:hAnsi="Times New Roman"/>
                <w:b w:val="0"/>
                <w:sz w:val="24"/>
                <w:u w:val="none"/>
              </w:rPr>
              <w:t>Στοιχεία ενεργητικού που αντιστοιχούν σε απαιτήσεις έναντι ή απαιτήσεις καλυπτόμενες από την εγγύηση της κεντρικής κυβέρνησης ή της κεντρικής τράπεζας και αποθεματικά που διατηρούνται σε κεντρική τράπεζα υπό τους όρους του άρθρου 10 παράγραφος 1 στοιχείο δ) σημείο ii) του κατ’ εξουσιοδότηση κανονισμού (ΕΕ) 2015/61, τρίτης χώρας που δεν έχει λάβει πιστοληπτική αξιολόγηση από εντεταλμένο ΕΟΠΑ, η οποία είναι τουλάχιστον βαθμίδας πιστωτικής ποιότητας 1, εφόσον το πιστωτικό ίδρυμα αναγνωρίζει τα εν λόγω στοιχεία ενεργητικού συνολικά ως επιπέδου 1 έως το ύψος των καθαρών εκροών ρευστότητας υπό ακραίες συνθήκες που πραγματοποιούνται στο ίδιο νόμισμα.</w:t>
            </w:r>
          </w:p>
          <w:p w14:paraId="55DF6FA5" w14:textId="556702F6"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u w:val="none"/>
              </w:rPr>
              <w:t>Στοιχεία ενεργητικού που αντιστοιχούν σε απαιτήσεις έναντι ή απαιτήσεις καλυπτόμενες από την εγγύηση της κεντρικής κυβέρνησης ή της κεντρικής τράπεζας και αποθεματικά που διατηρούνται σε κεντρική τράπεζα υπό τους όρους του άρθρου 10 παράγραφος 1 στοιχείο δ) σημείο ii) του κατ’ εξουσιοδότηση κανονισμού (ΕΕ) 2015/61, τρίτης χώρας που δεν έχει λάβει πιστοληπτική αξιολόγηση από εντεταλμένο ΕΟΠΑ, η οποία είναι βαθμίδας πιστωτικής ποιότητας τουλάχιστον 1 και αυτά τα στοιχεία ενεργητικού δεν είναι εκφρασμένα στο εθνικό νόμισμα της εν λόγω τρίτης χώρας, υπό τον όρο ότι το πιστωτικό ίδρυμα αναγνωρίζει τα στοιχεία ενεργητικού ως επιπέδου 1 έως το ύψος των καθαρών εκροών ρευστότητας υπό ακραίες συνθήκες στο εν λόγω ξένο νόμισμα, οι οποίες αντιστοιχούν στις δραστηριότητές του εντός της περιοχής δικαιοδοσίας στην οποία αναλαμβάνεται ο κίνδυνος ρευστότητας.</w:t>
            </w:r>
          </w:p>
        </w:tc>
      </w:tr>
      <w:tr w:rsidR="00B47B7D" w:rsidRPr="000B6B22" w14:paraId="2BA962D4" w14:textId="77777777" w:rsidTr="002B73CC">
        <w:tc>
          <w:tcPr>
            <w:tcW w:w="1097" w:type="dxa"/>
            <w:vAlign w:val="center"/>
          </w:tcPr>
          <w:p w14:paraId="3CCB066D" w14:textId="4859057C" w:rsidR="006E48EA" w:rsidRPr="000B6B22" w:rsidRDefault="00720B9F">
            <w:pPr>
              <w:spacing w:before="0"/>
              <w:rPr>
                <w:rFonts w:ascii="Times New Roman" w:hAnsi="Times New Roman"/>
                <w:sz w:val="24"/>
              </w:rPr>
            </w:pPr>
            <w:r>
              <w:rPr>
                <w:rFonts w:ascii="Times New Roman" w:hAnsi="Times New Roman"/>
                <w:sz w:val="24"/>
              </w:rPr>
              <w:t>0110</w:t>
            </w:r>
          </w:p>
        </w:tc>
        <w:tc>
          <w:tcPr>
            <w:tcW w:w="7125" w:type="dxa"/>
            <w:gridSpan w:val="2"/>
          </w:tcPr>
          <w:p w14:paraId="53C251E6" w14:textId="77777777"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sz w:val="24"/>
                <w:u w:val="none"/>
              </w:rPr>
              <w:t>1.1.1.8. Στοιχεία ενεργητικού πιστωτικού ιδρύματος (προστατευόμενα από κυβέρνηση κράτους μέλους, προνομιακό δανειοδότη)</w:t>
            </w:r>
          </w:p>
          <w:p w14:paraId="289FE6A7" w14:textId="08BC872C" w:rsidR="006E48EA" w:rsidRPr="000B6B22" w:rsidRDefault="00485545">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u w:val="none"/>
              </w:rPr>
              <w:t xml:space="preserve">Άρθρο 10 παράγραφος 1 στοιχείο ε) σημεία i) και ii) </w:t>
            </w:r>
            <w:r>
              <w:rPr>
                <w:rStyle w:val="FormatvorlageInstructionsTabelleText"/>
                <w:rFonts w:ascii="Times New Roman" w:hAnsi="Times New Roman"/>
                <w:sz w:val="24"/>
              </w:rPr>
              <w:t xml:space="preserve">του </w:t>
            </w:r>
            <w:r>
              <w:rPr>
                <w:sz w:val="24"/>
              </w:rPr>
              <w:t>κατ’ εξουσιοδότηση κανονισμού (ΕΕ) 2015/61</w:t>
            </w:r>
          </w:p>
          <w:p w14:paraId="0986761B" w14:textId="373ACE70"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u w:val="none"/>
              </w:rPr>
              <w:t>Στοιχεία ενεργητικού που εκδίδονται από πιστωτικά ιδρύματα που έχουν συσταθεί ή ιδρυθεί από την κεντρική κυβέρνηση, την περιφερειακή κυβέρνηση ή τοπική αρχή ενός κράτους μέλους, η οποία έχει τη νομική υποχρέωση να προστατεύει την οικονομική βάση του πιστωτικού ιδρύματος και να διατηρεί την οικονομική του βιωσιμότητα.</w:t>
            </w:r>
          </w:p>
          <w:p w14:paraId="34496170" w14:textId="660E6C76"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u w:val="none"/>
              </w:rPr>
              <w:lastRenderedPageBreak/>
              <w:t>Στοιχεία ενεργητικού που εκδίδονται από προνομιακό δανειστή, σύμφωνα με το άρθρο 10 παράγραφος 1 στοιχείο ε) σημείο ii) του κατ’ εξουσιοδότηση κανονισμού (ΕΕ) 2015/61.</w:t>
            </w:r>
          </w:p>
          <w:p w14:paraId="71177326" w14:textId="5263D989"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u w:val="none"/>
              </w:rPr>
              <w:t>Τα ανοίγματα έναντι περιφερειακής κυβέρνησης ή τοπικής αρχής που αναφέρονται ανωτέρω αντιμετωπίζονται ως ανοίγματα έναντι της κεντρικής κυβέρνησης του κράτους μέλους, σύμφωνα με το άρθρο 115 παράγραφος 2 του κανονισμού (ΕΕ) αριθ. 575/2013.</w:t>
            </w:r>
          </w:p>
        </w:tc>
      </w:tr>
      <w:tr w:rsidR="00B47B7D" w:rsidRPr="000B6B22" w14:paraId="51118772" w14:textId="77777777" w:rsidTr="002B73CC">
        <w:tc>
          <w:tcPr>
            <w:tcW w:w="1097" w:type="dxa"/>
            <w:vAlign w:val="center"/>
          </w:tcPr>
          <w:p w14:paraId="1C4139C2" w14:textId="2D4B864A" w:rsidR="006E48EA" w:rsidRPr="000B6B22" w:rsidRDefault="00500145">
            <w:pPr>
              <w:spacing w:before="0"/>
              <w:rPr>
                <w:rFonts w:ascii="Times New Roman" w:hAnsi="Times New Roman"/>
                <w:sz w:val="24"/>
              </w:rPr>
            </w:pPr>
            <w:r>
              <w:rPr>
                <w:rFonts w:ascii="Times New Roman" w:hAnsi="Times New Roman"/>
                <w:sz w:val="24"/>
              </w:rPr>
              <w:lastRenderedPageBreak/>
              <w:t>0120</w:t>
            </w:r>
          </w:p>
        </w:tc>
        <w:tc>
          <w:tcPr>
            <w:tcW w:w="7125" w:type="dxa"/>
            <w:gridSpan w:val="2"/>
          </w:tcPr>
          <w:p w14:paraId="0D5179AF"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u w:val="none"/>
              </w:rPr>
              <w:t>1.1.1.9. Στοιχεία ενεργητικού πολυμερών τραπεζών ανάπτυξης και διεθνών οργανισμών</w:t>
            </w:r>
          </w:p>
          <w:p w14:paraId="1FF33250" w14:textId="14CB012C" w:rsidR="006E48EA" w:rsidRPr="000B6B22" w:rsidRDefault="00485545">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u w:val="none"/>
              </w:rPr>
              <w:t xml:space="preserve">Άρθρο 10 παράγραφος 1 στοιχείο ζ) </w:t>
            </w:r>
            <w:r>
              <w:rPr>
                <w:rStyle w:val="FormatvorlageInstructionsTabelleText"/>
                <w:rFonts w:ascii="Times New Roman" w:hAnsi="Times New Roman"/>
                <w:sz w:val="24"/>
              </w:rPr>
              <w:t xml:space="preserve">του </w:t>
            </w:r>
            <w:r>
              <w:rPr>
                <w:sz w:val="24"/>
              </w:rPr>
              <w:t>κατ’ εξουσιοδότηση κανονισμού (ΕΕ) 2015/61</w:t>
            </w:r>
          </w:p>
          <w:p w14:paraId="3F23877C" w14:textId="5B9D4179"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u w:val="none"/>
              </w:rPr>
              <w:t>Στοιχεία ενεργητικού που αντιστοιχούν σε απαιτήσεις  έναντι ή απαιτήσεις καλυπτόμενες από την εγγύηση των πολυμερών τραπεζών ανάπτυξης και των διεθνών οργανισμών που αναφέρονται στο άρθρο 117 παράγραφος 2 και στο άρθρο 118 του κανονισμού (ΕΕ) αριθ. 575/2013.</w:t>
            </w:r>
          </w:p>
        </w:tc>
      </w:tr>
      <w:tr w:rsidR="00B47B7D" w:rsidRPr="000B6B22" w14:paraId="7DED49E5" w14:textId="77777777" w:rsidTr="002B73CC">
        <w:tc>
          <w:tcPr>
            <w:tcW w:w="1097" w:type="dxa"/>
            <w:vAlign w:val="center"/>
          </w:tcPr>
          <w:p w14:paraId="288613BB" w14:textId="79C33511" w:rsidR="006E48EA" w:rsidRPr="000B6B22" w:rsidRDefault="00500145">
            <w:pPr>
              <w:spacing w:before="0"/>
              <w:rPr>
                <w:rFonts w:ascii="Times New Roman" w:hAnsi="Times New Roman"/>
                <w:sz w:val="24"/>
              </w:rPr>
            </w:pPr>
            <w:r>
              <w:rPr>
                <w:rFonts w:ascii="Times New Roman" w:hAnsi="Times New Roman"/>
                <w:sz w:val="24"/>
              </w:rPr>
              <w:t>0130</w:t>
            </w:r>
          </w:p>
        </w:tc>
        <w:tc>
          <w:tcPr>
            <w:tcW w:w="7125" w:type="dxa"/>
            <w:gridSpan w:val="2"/>
          </w:tcPr>
          <w:p w14:paraId="3AAFB551" w14:textId="77777777"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sz w:val="24"/>
                <w:u w:val="none"/>
              </w:rPr>
              <w:t>1.1.1.10. Αποδεκτές μετοχές/μερίδια σε ΟΣΕ: τα υποκείμενα στοιχεία είναι κέρματα/τραπεζογραμμάτια και/ή ανοίγματα έναντι κεντρικών τραπεζών</w:t>
            </w:r>
          </w:p>
          <w:p w14:paraId="7D3B6BCF" w14:textId="7CACB305" w:rsidR="006E48EA" w:rsidRPr="000B6B22" w:rsidRDefault="00485545">
            <w:pPr>
              <w:pStyle w:val="InstructionsText"/>
              <w:spacing w:after="120"/>
              <w:rPr>
                <w:rStyle w:val="InstructionsTabelleberschrift"/>
                <w:rFonts w:ascii="Times New Roman" w:hAnsi="Times New Roman"/>
                <w:b w:val="0"/>
                <w:bCs/>
                <w:sz w:val="24"/>
                <w:szCs w:val="24"/>
              </w:rPr>
            </w:pPr>
            <w:r>
              <w:rPr>
                <w:rStyle w:val="InstructionsTabelleberschrift"/>
                <w:rFonts w:ascii="Times New Roman" w:hAnsi="Times New Roman"/>
                <w:b w:val="0"/>
                <w:sz w:val="24"/>
                <w:u w:val="none"/>
              </w:rPr>
              <w:t xml:space="preserve">Άρθρο 15 παράγραφος 2 στοιχείο α) </w:t>
            </w:r>
            <w:r>
              <w:rPr>
                <w:rStyle w:val="FormatvorlageInstructionsTabelleText"/>
                <w:rFonts w:ascii="Times New Roman" w:hAnsi="Times New Roman"/>
                <w:sz w:val="24"/>
              </w:rPr>
              <w:t xml:space="preserve">του </w:t>
            </w:r>
            <w:r>
              <w:rPr>
                <w:sz w:val="24"/>
              </w:rPr>
              <w:t>κατ’ εξουσιοδότηση κανονισμού (ΕΕ) 2015/61</w:t>
            </w:r>
          </w:p>
          <w:p w14:paraId="4703F57B" w14:textId="3AE59D98"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u w:val="none"/>
              </w:rPr>
              <w:t xml:space="preserve">Οι μετοχές ή τα μερίδια σε ΟΣΕ τα υποκείμενα στοιχεία ενεργητικού των οποίων αντιστοιχούν σε κέρματα, τραπεζογραμμάτια και ανοίγματα έναντι της ΕΚΤ, της κεντρικής τράπεζας κράτους μέλους ή της κεντρικής τράπεζας τρίτης χώρας, εφόσον τα ανοίγματα έναντι της κεντρικής τράπεζας ή της κεντρικής κυβέρνησης τρίτης χώρας έχουν πιστοληπτική αξιολόγηση από εντεταλμένο ΕΟΠΑ με βαθμίδα πιστωτικής ποιότητας τουλάχιστον 1, </w:t>
            </w:r>
            <w:r>
              <w:rPr>
                <w:rStyle w:val="InstructionsTabelleberschrift"/>
                <w:rFonts w:ascii="Times New Roman" w:hAnsi="Times New Roman"/>
                <w:b w:val="0"/>
                <w:sz w:val="24"/>
              </w:rPr>
              <w:t>σύμφωνα με</w:t>
            </w:r>
            <w:r>
              <w:rPr>
                <w:rStyle w:val="InstructionsTabelleberschrift"/>
                <w:rFonts w:ascii="Times New Roman" w:hAnsi="Times New Roman"/>
                <w:b w:val="0"/>
                <w:sz w:val="24"/>
                <w:u w:val="none"/>
              </w:rPr>
              <w:t xml:space="preserve"> το άρθρο 114 παράγραφος 2 του κανονισμού (ΕΕ) αριθ. 575/2013.</w:t>
            </w:r>
          </w:p>
        </w:tc>
      </w:tr>
      <w:tr w:rsidR="00B47B7D" w:rsidRPr="000B6B22" w14:paraId="14CA4ED8" w14:textId="77777777" w:rsidTr="002B73CC">
        <w:tc>
          <w:tcPr>
            <w:tcW w:w="1097" w:type="dxa"/>
            <w:vAlign w:val="center"/>
          </w:tcPr>
          <w:p w14:paraId="1338CAB5" w14:textId="0BE17CF1" w:rsidR="006E48EA" w:rsidRPr="000B6B22" w:rsidRDefault="00500145">
            <w:pPr>
              <w:spacing w:before="0"/>
              <w:rPr>
                <w:rFonts w:ascii="Times New Roman" w:hAnsi="Times New Roman"/>
                <w:sz w:val="24"/>
              </w:rPr>
            </w:pPr>
            <w:r>
              <w:rPr>
                <w:rFonts w:ascii="Times New Roman" w:hAnsi="Times New Roman"/>
                <w:sz w:val="24"/>
              </w:rPr>
              <w:t>0140</w:t>
            </w:r>
          </w:p>
        </w:tc>
        <w:tc>
          <w:tcPr>
            <w:tcW w:w="7125" w:type="dxa"/>
            <w:gridSpan w:val="2"/>
          </w:tcPr>
          <w:p w14:paraId="04C5469E"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u w:val="none"/>
              </w:rPr>
              <w:t>1.1.1.11. Αποδεκτές μετοχές/μερίδια σε ΟΣΕ: τα υποκείμενα στοιχεία είναι στοιχεία ενεργητικού επιπέδου 1, με εξαίρεση τα εξαιρετικά υψηλής ποιότητας καλυμμένα ομόλογα</w:t>
            </w:r>
          </w:p>
          <w:p w14:paraId="7ACCDDD4" w14:textId="66C26539" w:rsidR="006E48EA" w:rsidRPr="000B6B22" w:rsidRDefault="00485545">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u w:val="none"/>
              </w:rPr>
              <w:t xml:space="preserve">Άρθρο 15 παράγραφος 2 στοιχείο β) </w:t>
            </w:r>
            <w:r>
              <w:rPr>
                <w:rStyle w:val="FormatvorlageInstructionsTabelleText"/>
                <w:rFonts w:ascii="Times New Roman" w:hAnsi="Times New Roman"/>
                <w:sz w:val="24"/>
              </w:rPr>
              <w:t xml:space="preserve">του </w:t>
            </w:r>
            <w:r>
              <w:rPr>
                <w:sz w:val="24"/>
              </w:rPr>
              <w:t>κατ’ εξουσιοδότηση κανονισμού (ΕΕ) 2015/61</w:t>
            </w:r>
          </w:p>
          <w:p w14:paraId="60CC32EB" w14:textId="15DB9382"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u w:val="none"/>
              </w:rPr>
              <w:t>Τα μερίδια ή οι μετοχές σε ΟΣΕ τα υποκείμενα στοιχεία ενεργητικού των οποίων αντιστοιχούν σε στοιχεία ενεργητικού που δεν είναι αποδεκτά ως στοιχεία ενεργητικού επιπέδου 1, με εξαίρεση τα κέρματα, χαρτονομίσματα, τα ανοίγματα έναντι της ΕΚΤ, της κεντρικής τράπεζας ενός κράτους μέλους ή μιας τρίτης χώρας, και τα εξαιρετικά υψηλής ποιότητας καλυμμένα ομόλογα, όπως ορίζεται στο άρθρο 10 παράγραφος 1 στοιχείο στ) του κατ’ εξουσιοδότηση κανονισμού (ΕΕ) 2015/61.</w:t>
            </w:r>
          </w:p>
        </w:tc>
      </w:tr>
      <w:tr w:rsidR="00B47B7D" w:rsidRPr="000B6B22" w14:paraId="3555109F" w14:textId="77777777" w:rsidTr="002B73CC">
        <w:tc>
          <w:tcPr>
            <w:tcW w:w="1097" w:type="dxa"/>
            <w:shd w:val="clear" w:color="auto" w:fill="FFFFFF"/>
            <w:vAlign w:val="center"/>
          </w:tcPr>
          <w:p w14:paraId="303F7668" w14:textId="3733483A" w:rsidR="006E48EA" w:rsidRPr="000B6B22" w:rsidRDefault="00500145">
            <w:pPr>
              <w:spacing w:before="0"/>
              <w:rPr>
                <w:rFonts w:ascii="Times New Roman" w:hAnsi="Times New Roman"/>
                <w:sz w:val="24"/>
              </w:rPr>
            </w:pPr>
            <w:r>
              <w:rPr>
                <w:rFonts w:ascii="Times New Roman" w:hAnsi="Times New Roman"/>
                <w:sz w:val="24"/>
              </w:rPr>
              <w:t>0150</w:t>
            </w:r>
          </w:p>
        </w:tc>
        <w:tc>
          <w:tcPr>
            <w:tcW w:w="7125" w:type="dxa"/>
            <w:gridSpan w:val="2"/>
            <w:shd w:val="clear" w:color="auto" w:fill="FFFFFF"/>
          </w:tcPr>
          <w:p w14:paraId="0DAE47A1" w14:textId="77777777"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sz w:val="24"/>
                <w:u w:val="none"/>
              </w:rPr>
              <w:t>1.1.1.12. Εναλλακτικές προσεγγίσεις ρευστότητας: Πιστωτική διευκόλυνση από κεντρική τράπεζα</w:t>
            </w:r>
          </w:p>
          <w:p w14:paraId="519DCA76" w14:textId="1E3024E9" w:rsidR="006E48EA" w:rsidRPr="000B6B22" w:rsidRDefault="00762F31">
            <w:pPr>
              <w:pStyle w:val="InstructionsText"/>
              <w:spacing w:after="120"/>
              <w:rPr>
                <w:rFonts w:cs="Times New Roman"/>
                <w:sz w:val="24"/>
                <w:szCs w:val="24"/>
              </w:rPr>
            </w:pPr>
            <w:r>
              <w:rPr>
                <w:rStyle w:val="InstructionsTabelleberschrift"/>
                <w:rFonts w:ascii="Times New Roman" w:hAnsi="Times New Roman"/>
                <w:b w:val="0"/>
                <w:sz w:val="24"/>
                <w:u w:val="none"/>
              </w:rPr>
              <w:lastRenderedPageBreak/>
              <w:t xml:space="preserve">Άρθρο 19 παράγραφος 1 στοιχείο β) </w:t>
            </w:r>
            <w:r>
              <w:rPr>
                <w:rStyle w:val="FormatvorlageInstructionsTabelleText"/>
                <w:rFonts w:ascii="Times New Roman" w:hAnsi="Times New Roman"/>
                <w:sz w:val="24"/>
              </w:rPr>
              <w:t xml:space="preserve">του </w:t>
            </w:r>
            <w:r>
              <w:rPr>
                <w:sz w:val="24"/>
              </w:rPr>
              <w:t>κατ’ εξουσιοδότηση κανονισμού (ΕΕ) 2015/61</w:t>
            </w:r>
          </w:p>
          <w:p w14:paraId="781E1693" w14:textId="23B69A0D" w:rsidR="006E48EA" w:rsidRPr="000B6B22" w:rsidRDefault="006E48EA">
            <w:pPr>
              <w:pStyle w:val="InstructionsText"/>
              <w:spacing w:after="120"/>
              <w:rPr>
                <w:rStyle w:val="InstructionsTabelleberschrift"/>
                <w:rFonts w:ascii="Times New Roman" w:hAnsi="Times New Roman"/>
                <w:bCs/>
                <w:sz w:val="24"/>
                <w:szCs w:val="24"/>
              </w:rPr>
            </w:pPr>
            <w:r>
              <w:rPr>
                <w:sz w:val="24"/>
              </w:rPr>
              <w:t>Μη αναληφθέν ποσό πιστωτικών διευκολύνσεων από την ΕΚΤ, την κεντρική τράπεζα κράτους μέλους ή τρίτης χώρας, υπό την προϋπόθεση ότι η διευκόλυνση πληροί τις απαιτήσεις που ορίζονται στο άρθρο 19 παράγραφος 1 στοιχείο β) σημεία i) έως iii) του κατ’ εξουσιοδότηση κανονισμού (ΕΕ) 2015/61.</w:t>
            </w:r>
          </w:p>
        </w:tc>
      </w:tr>
      <w:tr w:rsidR="00B47B7D" w:rsidRPr="000B6B22" w14:paraId="2299781C" w14:textId="77777777" w:rsidTr="002B73CC">
        <w:tc>
          <w:tcPr>
            <w:tcW w:w="1097" w:type="dxa"/>
            <w:shd w:val="clear" w:color="auto" w:fill="FFFFFF"/>
            <w:vAlign w:val="center"/>
          </w:tcPr>
          <w:p w14:paraId="1B6B6A1F" w14:textId="7F76F641" w:rsidR="006E48EA" w:rsidRPr="000B6B22" w:rsidRDefault="00500145">
            <w:pPr>
              <w:spacing w:before="0"/>
              <w:rPr>
                <w:rFonts w:ascii="Times New Roman" w:hAnsi="Times New Roman"/>
                <w:sz w:val="24"/>
              </w:rPr>
            </w:pPr>
            <w:r>
              <w:rPr>
                <w:rFonts w:ascii="Times New Roman" w:hAnsi="Times New Roman"/>
                <w:sz w:val="24"/>
              </w:rPr>
              <w:lastRenderedPageBreak/>
              <w:t>0160</w:t>
            </w:r>
          </w:p>
        </w:tc>
        <w:tc>
          <w:tcPr>
            <w:tcW w:w="7125" w:type="dxa"/>
            <w:gridSpan w:val="2"/>
            <w:shd w:val="clear" w:color="auto" w:fill="FFFFFF"/>
          </w:tcPr>
          <w:p w14:paraId="02D2F03F" w14:textId="77777777" w:rsidR="006E48EA" w:rsidRPr="000B6B22" w:rsidRDefault="006E48EA">
            <w:pPr>
              <w:spacing w:before="0"/>
              <w:ind w:left="33"/>
              <w:rPr>
                <w:rFonts w:ascii="Times New Roman" w:hAnsi="Times New Roman"/>
                <w:b/>
                <w:sz w:val="24"/>
              </w:rPr>
            </w:pPr>
            <w:r>
              <w:rPr>
                <w:rFonts w:ascii="Times New Roman" w:hAnsi="Times New Roman"/>
                <w:b/>
                <w:sz w:val="24"/>
              </w:rPr>
              <w:t>1.1.1.13. Κεντρικά πιστωτικά ιδρύματα: Στοιχεία ενεργητικού επιπέδου 1 εξαιρουμένων των εξαιρετικά υψηλής ποιότητας καλυμμένων ομολόγων, τα οποία θεωρούνται ρευστά στοιχεία ενεργητικού για το πιστωτικό ίδρυμα-καταθέτη</w:t>
            </w:r>
          </w:p>
          <w:p w14:paraId="3DD38AE4" w14:textId="14B0FC31" w:rsidR="006E48EA" w:rsidRPr="000B6B22" w:rsidRDefault="006E48EA">
            <w:pPr>
              <w:spacing w:before="0"/>
              <w:ind w:left="33"/>
              <w:rPr>
                <w:rFonts w:ascii="Times New Roman" w:hAnsi="Times New Roman"/>
                <w:bCs/>
                <w:sz w:val="24"/>
              </w:rPr>
            </w:pPr>
            <w:r>
              <w:rPr>
                <w:rFonts w:ascii="Times New Roman" w:hAnsi="Times New Roman"/>
                <w:sz w:val="24"/>
              </w:rPr>
              <w:t>Άρθρο 27 παράγραφος 3 του κατ’ εξουσιοδότηση κανονισμού (ΕΕ) 2015/61.</w:t>
            </w:r>
          </w:p>
          <w:p w14:paraId="2461B912" w14:textId="1F7138EE" w:rsidR="006E48EA" w:rsidRPr="000B6B22" w:rsidRDefault="00592A6C">
            <w:pPr>
              <w:spacing w:before="0"/>
              <w:ind w:left="33"/>
              <w:rPr>
                <w:rFonts w:ascii="Times New Roman" w:hAnsi="Times New Roman"/>
                <w:sz w:val="24"/>
              </w:rPr>
            </w:pPr>
            <w:r>
              <w:rPr>
                <w:rFonts w:ascii="Times New Roman" w:hAnsi="Times New Roman"/>
                <w:sz w:val="24"/>
              </w:rPr>
              <w:t>Σύμφωνα με το άρθρο 27 παράγραφος 3 του κατ’ εξουσιοδότηση κανονισμού (ΕΕ) 2015/61, πρέπει να εντοπιστούν τα ρευστά στοιχεία ενεργητικού που αντιστοιχούν σε καταθέσεις από πιστωτικά ιδρύματα προς το κεντρικό ίδρυμα και τα οποία θεωρούνται ρευστά στοιχεία ενεργητικού για το πιστωτικό ίδρυμα που πραγματοποιεί την κατάθεση. Τα εν λόγω ρευστά στοιχεία ενεργητικού δεν προσμετρώνται για την κάλυψη άλλων εκροών εκτός από εκείνες που αντιστοιχούν σε καταθέσεις και δεν λαμβάνονται υπόψη για τους σκοπούς των υπολογισμών της σύνθεσης του εναπομένοντος αποθέματος ασφαλείας ρευστότητας βάσει του άρθρου 17 για το κεντρικό ίδρυμα σε ατομικό επίπεδο.</w:t>
            </w:r>
          </w:p>
          <w:p w14:paraId="786E9F39" w14:textId="2C1084DC" w:rsidR="006E48EA" w:rsidRPr="000B6B22" w:rsidRDefault="006E48EA">
            <w:pPr>
              <w:spacing w:before="0"/>
              <w:ind w:left="33"/>
              <w:rPr>
                <w:rFonts w:ascii="Times New Roman" w:hAnsi="Times New Roman"/>
                <w:bCs/>
                <w:sz w:val="24"/>
              </w:rPr>
            </w:pPr>
            <w:r>
              <w:rPr>
                <w:rFonts w:ascii="Times New Roman" w:hAnsi="Times New Roman"/>
                <w:sz w:val="24"/>
              </w:rPr>
              <w:t>Τα κεντρικά ιδρύματα, όταν αναφέρουν τα εν λόγω στοιχεία ενεργητικού, εξασφαλίζουν ότι το ποσό αυτών των ρευστών στοιχείων ενεργητικού μετά την περικοπή δεν υπερβαίνει την εκροή από τις αντίστοιχες καταθέσεις.</w:t>
            </w:r>
          </w:p>
          <w:p w14:paraId="2B8EDBF8" w14:textId="2F40A490" w:rsidR="006E48EA" w:rsidRPr="000B6B22" w:rsidRDefault="006E48EA" w:rsidP="009D4EFF">
            <w:pPr>
              <w:spacing w:before="0"/>
              <w:ind w:left="33"/>
              <w:rPr>
                <w:rStyle w:val="InstructionsTabelleberschrift"/>
                <w:rFonts w:ascii="Times New Roman" w:hAnsi="Times New Roman"/>
                <w:bCs w:val="0"/>
                <w:sz w:val="24"/>
              </w:rPr>
            </w:pPr>
            <w:r>
              <w:rPr>
                <w:rFonts w:ascii="Times New Roman" w:hAnsi="Times New Roman"/>
                <w:sz w:val="24"/>
              </w:rPr>
              <w:t>Τα στοιχεία ενεργητικού που αναφέρονται σε αυτή τη γραμμή είναι στοιχεία ενεργητικού επιπέδου 1 εξαιρουμένων των εξαιρετικά υψηλής ποιότητας καλυμμένων ομολόγων.</w:t>
            </w:r>
          </w:p>
        </w:tc>
      </w:tr>
      <w:tr w:rsidR="00B47B7D" w:rsidRPr="000B6B22" w14:paraId="07CE9364" w14:textId="77777777" w:rsidTr="002B73CC">
        <w:tc>
          <w:tcPr>
            <w:tcW w:w="1097" w:type="dxa"/>
            <w:shd w:val="clear" w:color="auto" w:fill="FFFFFF"/>
            <w:vAlign w:val="center"/>
          </w:tcPr>
          <w:p w14:paraId="74A19ACB" w14:textId="3DFEB87F" w:rsidR="006E48EA" w:rsidRPr="000B6B22" w:rsidRDefault="00500145">
            <w:pPr>
              <w:spacing w:before="0"/>
              <w:rPr>
                <w:rFonts w:ascii="Times New Roman" w:hAnsi="Times New Roman"/>
                <w:sz w:val="24"/>
              </w:rPr>
            </w:pPr>
            <w:r>
              <w:rPr>
                <w:rFonts w:ascii="Times New Roman" w:hAnsi="Times New Roman"/>
                <w:sz w:val="24"/>
              </w:rPr>
              <w:t>0170</w:t>
            </w:r>
          </w:p>
        </w:tc>
        <w:tc>
          <w:tcPr>
            <w:tcW w:w="7125" w:type="dxa"/>
            <w:gridSpan w:val="2"/>
            <w:shd w:val="clear" w:color="auto" w:fill="FFFFFF"/>
          </w:tcPr>
          <w:p w14:paraId="76BC48AA"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u w:val="none"/>
              </w:rPr>
              <w:t>1.1.1.14. Εναλλακτικές προσεγγίσεις ρευστότητας: Στοιχεία ενεργητικού επιπέδου 2Α που αναγνωρίζονται ως επιπέδου 1</w:t>
            </w:r>
          </w:p>
          <w:p w14:paraId="22491EAB" w14:textId="030DF634" w:rsidR="006E48EA" w:rsidRPr="000B6B22" w:rsidRDefault="00762F31">
            <w:pPr>
              <w:pStyle w:val="InstructionsText"/>
              <w:spacing w:after="120"/>
              <w:rPr>
                <w:rFonts w:cs="Times New Roman"/>
                <w:sz w:val="24"/>
                <w:szCs w:val="24"/>
              </w:rPr>
            </w:pPr>
            <w:r>
              <w:rPr>
                <w:rStyle w:val="InstructionsTabelleberschrift"/>
                <w:rFonts w:ascii="Times New Roman" w:hAnsi="Times New Roman"/>
                <w:b w:val="0"/>
                <w:sz w:val="24"/>
                <w:u w:val="none"/>
              </w:rPr>
              <w:t xml:space="preserve">Άρθρο 19 παράγραφος 1 στοιχείο γ) </w:t>
            </w:r>
            <w:r>
              <w:rPr>
                <w:rStyle w:val="FormatvorlageInstructionsTabelleText"/>
                <w:rFonts w:ascii="Times New Roman" w:hAnsi="Times New Roman"/>
                <w:sz w:val="24"/>
              </w:rPr>
              <w:t xml:space="preserve">του </w:t>
            </w:r>
            <w:r>
              <w:rPr>
                <w:sz w:val="24"/>
              </w:rPr>
              <w:t>κατ’ εξουσιοδότηση κανονισμού (ΕΕ) 2015/61</w:t>
            </w:r>
          </w:p>
          <w:p w14:paraId="6562511C" w14:textId="5DF5F8DC" w:rsidR="006E48EA" w:rsidRPr="000B6B22" w:rsidRDefault="006E48EA" w:rsidP="009D4EFF">
            <w:pPr>
              <w:spacing w:before="0"/>
              <w:ind w:left="33"/>
              <w:rPr>
                <w:rStyle w:val="InstructionsTabelleberschrift"/>
                <w:rFonts w:ascii="Times New Roman" w:hAnsi="Times New Roman"/>
                <w:bCs w:val="0"/>
                <w:sz w:val="24"/>
              </w:rPr>
            </w:pPr>
            <w:r>
              <w:rPr>
                <w:rFonts w:ascii="Times New Roman" w:hAnsi="Times New Roman"/>
                <w:sz w:val="24"/>
              </w:rPr>
              <w:t>Σε περίπτωση ελλείμματος στοιχείων ενεργητικού επιπέδου 1, τα πιστωτικά ιδρύματα αναφέρουν το ποσό των στοιχείων ενεργητικού επιπέδου 2Α τα οποία αναγνωρίζουν ως επιπέδου 1 και δεν τα αναφέρουν ως επιπέδου 2Α, σύμφωνα με το άρθρο 19 παράγραφος 1 στοιχείο γ) του κατ’ εξουσιοδότηση κανονισμού (ΕΕ) 2015/61. Τα εν λόγω στοιχεία δεν αναφέρονται στο τμήμα των στοιχείων ενεργητικού επιπέδου 2Α.</w:t>
            </w:r>
          </w:p>
        </w:tc>
      </w:tr>
      <w:tr w:rsidR="00B47B7D" w:rsidRPr="000B6B22" w14:paraId="767F5351" w14:textId="77777777" w:rsidTr="002B73CC">
        <w:tc>
          <w:tcPr>
            <w:tcW w:w="1097" w:type="dxa"/>
            <w:shd w:val="clear" w:color="auto" w:fill="auto"/>
            <w:vAlign w:val="center"/>
          </w:tcPr>
          <w:p w14:paraId="1AF90C3E" w14:textId="1F5B22D8" w:rsidR="006E48EA" w:rsidRPr="000B6B22" w:rsidRDefault="00500145">
            <w:pPr>
              <w:spacing w:before="0"/>
              <w:rPr>
                <w:rFonts w:ascii="Times New Roman" w:hAnsi="Times New Roman"/>
                <w:sz w:val="24"/>
              </w:rPr>
            </w:pPr>
            <w:r>
              <w:rPr>
                <w:rFonts w:ascii="Times New Roman" w:hAnsi="Times New Roman"/>
                <w:sz w:val="24"/>
              </w:rPr>
              <w:t>0180</w:t>
            </w:r>
          </w:p>
        </w:tc>
        <w:tc>
          <w:tcPr>
            <w:tcW w:w="7125" w:type="dxa"/>
            <w:gridSpan w:val="2"/>
            <w:shd w:val="clear" w:color="auto" w:fill="auto"/>
          </w:tcPr>
          <w:p w14:paraId="5F5760BE"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u w:val="none"/>
              </w:rPr>
              <w:t>1.1.2. Σύνολο μη προσαρμοσμένων εξαιρετικά υψηλής ποιότητας καλυμμένων ομολόγων επιπέδου 1</w:t>
            </w:r>
          </w:p>
          <w:p w14:paraId="199D7109" w14:textId="070235FE"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u w:val="none"/>
              </w:rPr>
              <w:t xml:space="preserve">Άρθρα 10, 15 και 16 του </w:t>
            </w:r>
            <w:r>
              <w:rPr>
                <w:sz w:val="24"/>
              </w:rPr>
              <w:t>κατ’ εξουσιοδότηση κανονισμού (ΕΕ) 2015/61</w:t>
            </w:r>
          </w:p>
          <w:p w14:paraId="30667FE9" w14:textId="7F862AE7" w:rsidR="006E48EA" w:rsidRPr="000B6B22" w:rsidRDefault="006E48EA">
            <w:pPr>
              <w:pStyle w:val="InstructionsText"/>
              <w:spacing w:after="120"/>
              <w:rPr>
                <w:rFonts w:cs="Times New Roman"/>
                <w:sz w:val="24"/>
                <w:szCs w:val="24"/>
              </w:rPr>
            </w:pPr>
            <w:r>
              <w:rPr>
                <w:rStyle w:val="FormatvorlageInstructionsTabelleText"/>
                <w:rFonts w:ascii="Times New Roman" w:hAnsi="Times New Roman"/>
                <w:sz w:val="24"/>
              </w:rPr>
              <w:lastRenderedPageBreak/>
              <w:t xml:space="preserve">Τα στοιχεία ενεργητικού που αναφέρονται στο παρόν υποτμήμα έχουν προσδιοριστεί ρητά ως ή αντιμετωπίζονται ως στοιχεία ενεργητικού επιπέδου 1 σύμφωνα με τον </w:t>
            </w:r>
            <w:r>
              <w:rPr>
                <w:sz w:val="24"/>
              </w:rPr>
              <w:t>κατ’ εξουσιοδότηση κανονισμό (ΕΕ) 2015/61 και είναι, ή τα υποκείμενα αυτών στοιχεία ενεργητικού είναι αποδεκτά ως, εξαιρετικά υψηλής ποιότητας καλυμμένα ομόλογα που αναφέρονται στο άρθρο 10 παράγραφος 1 στοιχείο στ) του κατ’ εξουσιοδότηση κανονισμού (ΕΕ) 2015/61.</w:t>
            </w:r>
          </w:p>
          <w:p w14:paraId="04635A7D" w14:textId="4058F3E0"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u w:val="none"/>
              </w:rPr>
              <w:t>Τα πιστωτικά ιδρύματα αναφέρουν στη στήλη 0010 το άθροισμα της συνολικής αγοραίας αξίας /του ποσού των εξαιρετικά υψηλής ποιότητας καλυμμένων ομολόγων επιπέδου 1, χωρίς να λαμβάνουν υπόψη τις απαιτήσεις του άρθρου 17 του κατ’ εξουσιοδότηση κανονισμού (ΕΕ) 2015/61.</w:t>
            </w:r>
          </w:p>
          <w:p w14:paraId="1280E935" w14:textId="2F90BE0E"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u w:val="none"/>
              </w:rPr>
              <w:t>Τα πιστωτικά ιδρύματα αναφέρουν στη στήλη 0040 το άθροισμα του συνολικού σταθμισμένου ποσού των εξαιρετικά υψηλής ποιότητας καλυμμένων ομόλογων επιπέδου 1, χωρίς να λαμβάνουν υπόψη τις απαιτήσεις του άρθρου 17 του κατ’ εξουσιοδότηση κανονισμού (ΕΕ) 2015/61.</w:t>
            </w:r>
          </w:p>
        </w:tc>
      </w:tr>
      <w:tr w:rsidR="00B47B7D" w:rsidRPr="000B6B22" w14:paraId="45ED5176" w14:textId="77777777" w:rsidTr="002B73CC">
        <w:tc>
          <w:tcPr>
            <w:tcW w:w="1097" w:type="dxa"/>
            <w:shd w:val="clear" w:color="auto" w:fill="FFFFFF"/>
            <w:vAlign w:val="center"/>
          </w:tcPr>
          <w:p w14:paraId="0DAC4C0E" w14:textId="7C89F152" w:rsidR="006E48EA" w:rsidRPr="000B6B22" w:rsidRDefault="00500145">
            <w:pPr>
              <w:spacing w:before="0"/>
              <w:rPr>
                <w:rFonts w:ascii="Times New Roman" w:hAnsi="Times New Roman"/>
                <w:sz w:val="24"/>
              </w:rPr>
            </w:pPr>
            <w:r>
              <w:rPr>
                <w:rFonts w:ascii="Times New Roman" w:hAnsi="Times New Roman"/>
                <w:sz w:val="24"/>
              </w:rPr>
              <w:lastRenderedPageBreak/>
              <w:t>0190</w:t>
            </w:r>
          </w:p>
        </w:tc>
        <w:tc>
          <w:tcPr>
            <w:tcW w:w="7125" w:type="dxa"/>
            <w:gridSpan w:val="2"/>
            <w:shd w:val="clear" w:color="auto" w:fill="FFFFFF"/>
          </w:tcPr>
          <w:p w14:paraId="25EE71DB"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u w:val="none"/>
              </w:rPr>
              <w:t>1.1.2.1. Εξαιρετικά υψηλής ποιότητας καλυμμένα ομόλογα</w:t>
            </w:r>
          </w:p>
          <w:p w14:paraId="5EC24061" w14:textId="6BE8A6B3" w:rsidR="006E48EA" w:rsidRPr="000B6B22" w:rsidRDefault="00DD4C72">
            <w:pPr>
              <w:pStyle w:val="InstructionsText"/>
              <w:spacing w:after="120"/>
              <w:rPr>
                <w:rFonts w:cs="Times New Roman"/>
                <w:sz w:val="24"/>
                <w:szCs w:val="24"/>
              </w:rPr>
            </w:pPr>
            <w:r>
              <w:rPr>
                <w:rStyle w:val="InstructionsTabelleberschrift"/>
                <w:rFonts w:ascii="Times New Roman" w:hAnsi="Times New Roman"/>
                <w:b w:val="0"/>
                <w:sz w:val="24"/>
                <w:u w:val="none"/>
              </w:rPr>
              <w:t xml:space="preserve">Άρθρο 10 παράγραφος 1 στοιχείο στ) </w:t>
            </w:r>
            <w:r>
              <w:rPr>
                <w:rStyle w:val="FormatvorlageInstructionsTabelleText"/>
                <w:rFonts w:ascii="Times New Roman" w:hAnsi="Times New Roman"/>
                <w:sz w:val="24"/>
              </w:rPr>
              <w:t xml:space="preserve">του </w:t>
            </w:r>
            <w:r>
              <w:rPr>
                <w:sz w:val="24"/>
              </w:rPr>
              <w:t>κατ’ εξουσιοδότηση κανονισμού (ΕΕ) 2015/61</w:t>
            </w:r>
          </w:p>
          <w:p w14:paraId="4344EAB7" w14:textId="5ED7E538"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u w:val="none"/>
              </w:rPr>
              <w:t xml:space="preserve">Στοιχεία ενεργητικού που αντιστοιχούν σε ανοίγματα υπό τη μορφή εξαιρετικά υψηλής ποιότητας καλυμμένων ομολόγων, τα οποία συμμορφώνονται με τις απαιτήσεις του άρθρου 10 παράγραφος 1 στοιχείο στ) </w:t>
            </w:r>
            <w:r>
              <w:rPr>
                <w:rStyle w:val="FormatvorlageInstructionsTabelleText"/>
                <w:rFonts w:ascii="Times New Roman" w:hAnsi="Times New Roman"/>
                <w:sz w:val="24"/>
              </w:rPr>
              <w:t xml:space="preserve">του </w:t>
            </w:r>
            <w:r>
              <w:rPr>
                <w:sz w:val="24"/>
              </w:rPr>
              <w:t>κατ’ εξουσιοδότηση κανονισμού (ΕΕ) 2015/61.</w:t>
            </w:r>
          </w:p>
        </w:tc>
      </w:tr>
      <w:tr w:rsidR="00B47B7D" w:rsidRPr="000B6B22" w14:paraId="4C11F354" w14:textId="77777777" w:rsidTr="002B73CC">
        <w:tc>
          <w:tcPr>
            <w:tcW w:w="1097" w:type="dxa"/>
            <w:shd w:val="clear" w:color="auto" w:fill="FFFFFF"/>
            <w:vAlign w:val="center"/>
          </w:tcPr>
          <w:p w14:paraId="3C5AF3AF" w14:textId="490D5111" w:rsidR="006E48EA" w:rsidRPr="000B6B22" w:rsidRDefault="00500145">
            <w:pPr>
              <w:spacing w:before="0"/>
              <w:rPr>
                <w:rFonts w:ascii="Times New Roman" w:hAnsi="Times New Roman"/>
                <w:sz w:val="24"/>
              </w:rPr>
            </w:pPr>
            <w:r>
              <w:rPr>
                <w:rFonts w:ascii="Times New Roman" w:hAnsi="Times New Roman"/>
                <w:sz w:val="24"/>
              </w:rPr>
              <w:t>0200</w:t>
            </w:r>
          </w:p>
        </w:tc>
        <w:tc>
          <w:tcPr>
            <w:tcW w:w="7125" w:type="dxa"/>
            <w:gridSpan w:val="2"/>
            <w:shd w:val="clear" w:color="auto" w:fill="FFFFFF"/>
          </w:tcPr>
          <w:p w14:paraId="084355EC"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u w:val="none"/>
              </w:rPr>
              <w:t>1.1.2.2. Αποδεκτές μετοχές/μερίδια σε ΟΣΕ: τα υποκείμενα στοιχεία είναι εξαιρετικά υψηλής ποιότητας καλυμμένα ομόλογα</w:t>
            </w:r>
          </w:p>
          <w:p w14:paraId="3B0BFAA9" w14:textId="19E8AFCC" w:rsidR="006E48EA" w:rsidRPr="000B6B22" w:rsidRDefault="00DD4C72">
            <w:pPr>
              <w:pStyle w:val="InstructionsText"/>
              <w:spacing w:after="120"/>
              <w:rPr>
                <w:rFonts w:cs="Times New Roman"/>
                <w:sz w:val="24"/>
                <w:szCs w:val="24"/>
              </w:rPr>
            </w:pPr>
            <w:r>
              <w:rPr>
                <w:rStyle w:val="InstructionsTabelleberschrift"/>
                <w:rFonts w:ascii="Times New Roman" w:hAnsi="Times New Roman"/>
                <w:b w:val="0"/>
                <w:sz w:val="24"/>
                <w:u w:val="none"/>
              </w:rPr>
              <w:t xml:space="preserve">Άρθρο 15 παράγραφος 2 στοιχείο γ) </w:t>
            </w:r>
            <w:r>
              <w:rPr>
                <w:rStyle w:val="FormatvorlageInstructionsTabelleText"/>
                <w:rFonts w:ascii="Times New Roman" w:hAnsi="Times New Roman"/>
                <w:sz w:val="24"/>
              </w:rPr>
              <w:t xml:space="preserve">του </w:t>
            </w:r>
            <w:r>
              <w:rPr>
                <w:sz w:val="24"/>
              </w:rPr>
              <w:t>κατ’ εξουσιοδότηση κανονισμού (ΕΕ) 2015/61</w:t>
            </w:r>
          </w:p>
          <w:p w14:paraId="6030D2C0" w14:textId="1B816FC9"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u w:val="none"/>
              </w:rPr>
              <w:t>Οι μετοχές ή τα μερίδια σε ΟΣΕ τα υποκείμενα στοιχεία ενεργητικού των οποίων αντιστοιχούν σε στοιχεία ενεργητικού που μπορούν να χαρακτηριστούν ως εξαιρετικά υψηλής ποιότητας καλυμμένα ομόλογα, όπως ορίζεται στο άρθρο 10 παράγραφος 1 στοιχείο στ) του κατ’ εξουσιοδότηση κανονισμού (ΕΕ) 2015/61.</w:t>
            </w:r>
          </w:p>
        </w:tc>
      </w:tr>
      <w:tr w:rsidR="00B47B7D" w:rsidRPr="000B6B22" w14:paraId="5266FB9F" w14:textId="77777777" w:rsidTr="002B73CC">
        <w:tc>
          <w:tcPr>
            <w:tcW w:w="1097" w:type="dxa"/>
            <w:shd w:val="clear" w:color="auto" w:fill="FFFFFF"/>
            <w:vAlign w:val="center"/>
          </w:tcPr>
          <w:p w14:paraId="67B0C6B6" w14:textId="786E3E83" w:rsidR="006E48EA" w:rsidRPr="000B6B22" w:rsidRDefault="00500145">
            <w:pPr>
              <w:spacing w:before="0"/>
              <w:rPr>
                <w:rFonts w:ascii="Times New Roman" w:hAnsi="Times New Roman"/>
                <w:sz w:val="24"/>
              </w:rPr>
            </w:pPr>
            <w:r>
              <w:rPr>
                <w:rFonts w:ascii="Times New Roman" w:hAnsi="Times New Roman"/>
                <w:sz w:val="24"/>
              </w:rPr>
              <w:t>0210</w:t>
            </w:r>
          </w:p>
        </w:tc>
        <w:tc>
          <w:tcPr>
            <w:tcW w:w="7125" w:type="dxa"/>
            <w:gridSpan w:val="2"/>
            <w:shd w:val="clear" w:color="auto" w:fill="FFFFFF"/>
          </w:tcPr>
          <w:p w14:paraId="03C43539" w14:textId="77777777" w:rsidR="006E48EA" w:rsidRPr="000B6B22" w:rsidRDefault="006E48EA">
            <w:pPr>
              <w:spacing w:before="0"/>
              <w:ind w:left="33"/>
              <w:rPr>
                <w:rFonts w:ascii="Times New Roman" w:hAnsi="Times New Roman"/>
                <w:b/>
                <w:sz w:val="24"/>
              </w:rPr>
            </w:pPr>
            <w:r>
              <w:rPr>
                <w:rFonts w:ascii="Times New Roman" w:hAnsi="Times New Roman"/>
                <w:b/>
                <w:sz w:val="24"/>
              </w:rPr>
              <w:t>1.1.2.3. Κεντρικά πιστωτικά ιδρύματα: Εξαιρετικά υψηλής ποιότητας καλυμμένα ομόλογα επιπέδου 1 που θεωρούνται ρευστά στοιχεία ενεργητικού για το πιστωτικό ίδρυμα που πραγματοποιεί την κατάθεση</w:t>
            </w:r>
          </w:p>
          <w:p w14:paraId="73FD21F1" w14:textId="49802B21" w:rsidR="006E48EA" w:rsidRPr="000B6B22" w:rsidRDefault="006E48EA">
            <w:pPr>
              <w:spacing w:before="0"/>
              <w:ind w:left="33"/>
              <w:rPr>
                <w:rFonts w:ascii="Times New Roman" w:hAnsi="Times New Roman"/>
                <w:bCs/>
                <w:sz w:val="24"/>
              </w:rPr>
            </w:pPr>
            <w:r>
              <w:rPr>
                <w:rFonts w:ascii="Times New Roman" w:hAnsi="Times New Roman"/>
                <w:sz w:val="24"/>
              </w:rPr>
              <w:t>Άρθρο 27 παράγραφος 3 του κατ’ εξουσιοδότηση κανονισμού (ΕΕ) 2015/61.</w:t>
            </w:r>
          </w:p>
          <w:p w14:paraId="575A1C12" w14:textId="41D35D81" w:rsidR="006E48EA" w:rsidRPr="000B6B22" w:rsidRDefault="00592A6C">
            <w:pPr>
              <w:spacing w:before="0"/>
              <w:ind w:left="33"/>
              <w:rPr>
                <w:rFonts w:ascii="Times New Roman" w:hAnsi="Times New Roman"/>
                <w:sz w:val="24"/>
              </w:rPr>
            </w:pPr>
            <w:r>
              <w:rPr>
                <w:rFonts w:ascii="Times New Roman" w:hAnsi="Times New Roman"/>
                <w:sz w:val="24"/>
              </w:rPr>
              <w:t xml:space="preserve">Σύμφωνα με το άρθρο 27 παράγραφος 3 του κατ’ εξουσιοδότηση κανονισμού (ΕΕ) 2015/61, πρέπει να εντοπιστούν τα ρευστά στοιχεία ενεργητικού που αντιστοιχούν σε καταθέσεις από πιστωτικά ιδρύματα προς το κεντρικό ίδρυμα και τα οποία θεωρούνται ρευστά στοιχεία ενεργητικού για το πιστωτικό ίδρυμα που πραγματοποιεί την κατάθεση. Τα εν λόγω ρευστά στοιχεία ενεργητικού δεν προσμετρώνται για την κάλυψη άλλων εκροών εκτός από εκείνες που αντιστοιχούν σε </w:t>
            </w:r>
            <w:r>
              <w:rPr>
                <w:rFonts w:ascii="Times New Roman" w:hAnsi="Times New Roman"/>
                <w:sz w:val="24"/>
              </w:rPr>
              <w:lastRenderedPageBreak/>
              <w:t>καταθέσεις και δεν λαμβάνονται υπόψη για τους υπολογισμούς της σύνθεσης του εναπομένοντος αποθέματος ασφαλείας ρευστότητας βάσει του άρθρου 17 του κατ’ εξουσιοδότηση κανονισμού (ΕΕ) 2015/61 για το κεντρικό ίδρυμα σε ατομικό επίπεδο.</w:t>
            </w:r>
          </w:p>
          <w:p w14:paraId="4011C61B" w14:textId="7E055849" w:rsidR="006E48EA" w:rsidRPr="000B6B22" w:rsidRDefault="006E48EA">
            <w:pPr>
              <w:spacing w:before="0"/>
              <w:ind w:left="33"/>
              <w:rPr>
                <w:rFonts w:ascii="Times New Roman" w:hAnsi="Times New Roman"/>
                <w:bCs/>
                <w:sz w:val="24"/>
              </w:rPr>
            </w:pPr>
            <w:r>
              <w:rPr>
                <w:rFonts w:ascii="Times New Roman" w:hAnsi="Times New Roman"/>
                <w:sz w:val="24"/>
              </w:rPr>
              <w:t>Τα κεντρικά ιδρύματα, όταν αναφέρουν τα εν λόγω στοιχεία ενεργητικού, εξασφαλίζουν ότι το ποσό αυτών των ρευστών στοιχείων ενεργητικού μετά την περικοπή δεν υπερβαίνει την εκροή από τις αντίστοιχες καταθέσεις.</w:t>
            </w:r>
          </w:p>
          <w:p w14:paraId="3EDA2916" w14:textId="4FAA2EB6" w:rsidR="006E48EA" w:rsidRPr="000B6B22" w:rsidRDefault="006E48EA" w:rsidP="009D4EFF">
            <w:pPr>
              <w:spacing w:before="0"/>
              <w:ind w:left="33"/>
              <w:rPr>
                <w:rStyle w:val="InstructionsTabelleberschrift"/>
                <w:rFonts w:ascii="Times New Roman" w:hAnsi="Times New Roman"/>
                <w:bCs w:val="0"/>
                <w:sz w:val="24"/>
              </w:rPr>
            </w:pPr>
            <w:r>
              <w:rPr>
                <w:rFonts w:ascii="Times New Roman" w:hAnsi="Times New Roman"/>
                <w:sz w:val="24"/>
              </w:rPr>
              <w:t>Στοιχεία ενεργητικού που αναφέρονται σε αυτή τη γραμμή είναι εξαιρετικά υψηλής ποιότητας καλυμμένα ομόλογα επιπέδου 1.</w:t>
            </w:r>
          </w:p>
        </w:tc>
      </w:tr>
      <w:tr w:rsidR="00B47B7D" w:rsidRPr="000B6B22" w14:paraId="796BD1BE" w14:textId="77777777" w:rsidTr="002B73CC">
        <w:tc>
          <w:tcPr>
            <w:tcW w:w="1097" w:type="dxa"/>
            <w:shd w:val="clear" w:color="auto" w:fill="FFFFFF"/>
            <w:vAlign w:val="center"/>
          </w:tcPr>
          <w:p w14:paraId="53CFD94E" w14:textId="10B5FAD3" w:rsidR="006E48EA" w:rsidRPr="000B6B22" w:rsidRDefault="00500145">
            <w:pPr>
              <w:spacing w:before="0"/>
              <w:rPr>
                <w:rFonts w:ascii="Times New Roman" w:hAnsi="Times New Roman"/>
                <w:sz w:val="24"/>
              </w:rPr>
            </w:pPr>
            <w:r>
              <w:rPr>
                <w:rFonts w:ascii="Times New Roman" w:hAnsi="Times New Roman"/>
                <w:sz w:val="24"/>
              </w:rPr>
              <w:lastRenderedPageBreak/>
              <w:t>0220</w:t>
            </w:r>
          </w:p>
        </w:tc>
        <w:tc>
          <w:tcPr>
            <w:tcW w:w="7125" w:type="dxa"/>
            <w:gridSpan w:val="2"/>
            <w:shd w:val="clear" w:color="auto" w:fill="FFFFFF"/>
          </w:tcPr>
          <w:p w14:paraId="67D0574E" w14:textId="77777777" w:rsidR="006E48EA" w:rsidRPr="000B6B22" w:rsidRDefault="006E48EA">
            <w:pPr>
              <w:spacing w:before="0"/>
              <w:ind w:left="33"/>
              <w:rPr>
                <w:rFonts w:ascii="Times New Roman" w:hAnsi="Times New Roman"/>
                <w:b/>
                <w:sz w:val="24"/>
              </w:rPr>
            </w:pPr>
            <w:r>
              <w:rPr>
                <w:rFonts w:ascii="Times New Roman" w:hAnsi="Times New Roman"/>
                <w:b/>
                <w:sz w:val="24"/>
              </w:rPr>
              <w:t>1.2. Σύνολο μη προσαρμοσμένων στοιχείων ενεργητικού επιπέδου 2</w:t>
            </w:r>
          </w:p>
          <w:p w14:paraId="576511AF" w14:textId="0A9F6A3C" w:rsidR="006E48EA" w:rsidRPr="000B6B22" w:rsidRDefault="006E48EA">
            <w:pPr>
              <w:spacing w:before="0"/>
              <w:ind w:left="33"/>
              <w:rPr>
                <w:rFonts w:ascii="Times New Roman" w:hAnsi="Times New Roman"/>
                <w:bCs/>
                <w:sz w:val="24"/>
              </w:rPr>
            </w:pPr>
            <w:r>
              <w:rPr>
                <w:rFonts w:ascii="Times New Roman" w:hAnsi="Times New Roman"/>
                <w:sz w:val="24"/>
              </w:rPr>
              <w:t>Άρθρα 11 έως 16 και άρθρο 19 του κατ’ εξουσιοδότηση κανονισμού (ΕΕ) 2015/61</w:t>
            </w:r>
          </w:p>
          <w:p w14:paraId="33E4C7B1" w14:textId="4B93549B" w:rsidR="006E48EA" w:rsidRPr="000B6B22" w:rsidRDefault="006E48EA">
            <w:pPr>
              <w:spacing w:before="0"/>
              <w:ind w:left="33"/>
              <w:rPr>
                <w:rFonts w:ascii="Times New Roman" w:hAnsi="Times New Roman"/>
                <w:bCs/>
                <w:sz w:val="24"/>
              </w:rPr>
            </w:pPr>
            <w:r>
              <w:rPr>
                <w:rFonts w:ascii="Times New Roman" w:hAnsi="Times New Roman"/>
                <w:sz w:val="24"/>
              </w:rPr>
              <w:t>Τα στοιχεία ενεργητικού που αναφέρονται στο παρόν τμήμα έχουν προσδιοριστεί ρητά ως, ή αντιμετωπίζονται ως, στοιχεία ενεργητικού επιπέδου 2Α ή επιπέδου 2B σύμφωνα με τον κατ’ εξουσιοδότηση κανονισμό (ΕΕ) 2015/61.</w:t>
            </w:r>
          </w:p>
          <w:p w14:paraId="6F5F136B" w14:textId="4ECEDAE7" w:rsidR="006E48EA" w:rsidRPr="000B6B22" w:rsidRDefault="00FB499E">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t>Τα πιστωτικά ιδρύματα αναφέρουν το συνολικό ποσό/αγοραία αξία των ρευστών στοιχείων ενεργητικού επιπέδου 2 στη στήλη 0010.</w:t>
            </w:r>
          </w:p>
          <w:p w14:paraId="4360F38A" w14:textId="15E0F4F2" w:rsidR="006E48EA" w:rsidRPr="000B6B22" w:rsidRDefault="00FB499E" w:rsidP="009D4EFF">
            <w:pPr>
              <w:pStyle w:val="InstructionsText"/>
              <w:rPr>
                <w:b/>
                <w:sz w:val="24"/>
              </w:rPr>
            </w:pPr>
            <w:r>
              <w:rPr>
                <w:rStyle w:val="FormatvorlageInstructionsTabelleText"/>
                <w:rFonts w:ascii="Times New Roman" w:hAnsi="Times New Roman"/>
                <w:sz w:val="24"/>
              </w:rPr>
              <w:t>Τα πιστωτικά ιδρύματα αναφέρουν τη συνολική αξία όπως υπολογίζεται σύμφωνα με το άρθρο 9 των ρευστών στοιχείων ενεργητικού τους επιπέδου 2 στη στήλη 0040.</w:t>
            </w:r>
          </w:p>
        </w:tc>
      </w:tr>
      <w:tr w:rsidR="00B47B7D" w:rsidRPr="000B6B22" w14:paraId="2E71342B" w14:textId="77777777" w:rsidTr="002B73CC">
        <w:tc>
          <w:tcPr>
            <w:tcW w:w="1097" w:type="dxa"/>
            <w:shd w:val="clear" w:color="auto" w:fill="FFFFFF"/>
            <w:vAlign w:val="center"/>
          </w:tcPr>
          <w:p w14:paraId="385A5358" w14:textId="339F3B5A" w:rsidR="006E48EA" w:rsidRPr="000B6B22" w:rsidRDefault="00500145">
            <w:pPr>
              <w:spacing w:before="0"/>
              <w:rPr>
                <w:rFonts w:ascii="Times New Roman" w:hAnsi="Times New Roman"/>
                <w:sz w:val="24"/>
              </w:rPr>
            </w:pPr>
            <w:r>
              <w:rPr>
                <w:rFonts w:ascii="Times New Roman" w:hAnsi="Times New Roman"/>
                <w:sz w:val="24"/>
              </w:rPr>
              <w:t>0230</w:t>
            </w:r>
          </w:p>
        </w:tc>
        <w:tc>
          <w:tcPr>
            <w:tcW w:w="7125" w:type="dxa"/>
            <w:gridSpan w:val="2"/>
            <w:shd w:val="clear" w:color="auto" w:fill="FFFFFF"/>
          </w:tcPr>
          <w:p w14:paraId="7C3C3167" w14:textId="77777777" w:rsidR="006E48EA" w:rsidRPr="000B6B22" w:rsidRDefault="006E48EA">
            <w:pPr>
              <w:spacing w:before="0"/>
              <w:ind w:left="33"/>
              <w:rPr>
                <w:rFonts w:ascii="Times New Roman" w:hAnsi="Times New Roman"/>
                <w:b/>
                <w:sz w:val="24"/>
              </w:rPr>
            </w:pPr>
            <w:r>
              <w:rPr>
                <w:rFonts w:ascii="Times New Roman" w:hAnsi="Times New Roman"/>
                <w:b/>
                <w:sz w:val="24"/>
              </w:rPr>
              <w:t>1.2.1. Σύνολο μη προσαρμοσμένων στοιχείων ενεργητικού ΕΠΙΠΕΔΟΥ 2Α</w:t>
            </w:r>
          </w:p>
          <w:p w14:paraId="38C401AD" w14:textId="035E6574" w:rsidR="006E48EA" w:rsidRPr="000B6B22" w:rsidRDefault="006E48EA">
            <w:pPr>
              <w:spacing w:before="0"/>
              <w:ind w:left="33"/>
              <w:rPr>
                <w:rFonts w:ascii="Times New Roman" w:hAnsi="Times New Roman"/>
                <w:sz w:val="24"/>
              </w:rPr>
            </w:pPr>
            <w:r>
              <w:rPr>
                <w:rFonts w:ascii="Times New Roman" w:hAnsi="Times New Roman"/>
                <w:sz w:val="24"/>
              </w:rPr>
              <w:t>Άρθρα 11, 15 και 19 του κατ’ εξουσιοδότηση κανονισμού (ΕΕ) 2015/61</w:t>
            </w:r>
          </w:p>
          <w:p w14:paraId="400EFF6D" w14:textId="3608C090" w:rsidR="006E48EA" w:rsidRPr="000B6B22" w:rsidRDefault="006E48EA">
            <w:pPr>
              <w:spacing w:before="0"/>
              <w:ind w:left="33"/>
              <w:rPr>
                <w:rFonts w:ascii="Times New Roman" w:hAnsi="Times New Roman"/>
                <w:bCs/>
                <w:sz w:val="24"/>
              </w:rPr>
            </w:pPr>
            <w:r>
              <w:rPr>
                <w:rFonts w:ascii="Times New Roman" w:hAnsi="Times New Roman"/>
                <w:sz w:val="24"/>
              </w:rPr>
              <w:t>Τα στοιχεία ενεργητικού που αναφέρονται στο παρόν υποτμήμα έχουν προσδιοριστεί ρητά ως, ή αντιμετωπίζονται ως, στοιχεία ενεργητικού επιπέδου 2Α, σύμφωνα με τον κατ’ εξουσιοδότηση κανονισμό (ΕΕ) 2015/61.</w:t>
            </w:r>
          </w:p>
          <w:p w14:paraId="6ACEAC6F" w14:textId="61BE1F1A"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u w:val="none"/>
              </w:rPr>
              <w:t>Τα πιστωτικά ιδρύματα αναφέρουν στη στήλη 0010 το άθροισμα της συνολικής αγοραίας αξίας των στοιχείων ενεργητικού επιπέδου 2Α, χωρίς να λαμβάνουν υπόψη τις απαιτήσεις του άρθρου 17 του κατ’ εξουσιοδότηση κανονισμού (ΕΕ) 2015/61.</w:t>
            </w:r>
          </w:p>
          <w:p w14:paraId="14A58F25" w14:textId="72219E89" w:rsidR="006E48EA" w:rsidRPr="000B6B22" w:rsidRDefault="006E48EA" w:rsidP="009D4EFF">
            <w:pPr>
              <w:pStyle w:val="InstructionsText"/>
              <w:spacing w:after="120"/>
              <w:rPr>
                <w:b/>
                <w:sz w:val="24"/>
              </w:rPr>
            </w:pPr>
            <w:r>
              <w:rPr>
                <w:rStyle w:val="InstructionsTabelleberschrift"/>
                <w:rFonts w:ascii="Times New Roman" w:hAnsi="Times New Roman"/>
                <w:b w:val="0"/>
                <w:sz w:val="24"/>
                <w:u w:val="none"/>
              </w:rPr>
              <w:t>Τα πιστωτικά ιδρύματα αναφέρουν στη στήλη 0040 το άθροισμα του συνολικού σταθμισμένου ποσού των στοιχείων ενεργητικού επιπέδου 2Α, χωρίς να λαμβάνουν υπόψη τις απαιτήσεις του άρθρου 17 του κατ’ εξουσιοδότηση κανονισμού (ΕΕ) 2015/61.</w:t>
            </w:r>
          </w:p>
        </w:tc>
      </w:tr>
      <w:tr w:rsidR="00B47B7D" w:rsidRPr="000B6B22" w14:paraId="4FEF5F27" w14:textId="77777777" w:rsidTr="002B73CC">
        <w:tc>
          <w:tcPr>
            <w:tcW w:w="1097" w:type="dxa"/>
            <w:shd w:val="clear" w:color="auto" w:fill="FFFFFF"/>
            <w:vAlign w:val="center"/>
          </w:tcPr>
          <w:p w14:paraId="47EB122A" w14:textId="1DB9749C" w:rsidR="006E48EA" w:rsidRPr="000B6B22" w:rsidRDefault="00500145">
            <w:pPr>
              <w:spacing w:before="0"/>
              <w:rPr>
                <w:rFonts w:ascii="Times New Roman" w:hAnsi="Times New Roman"/>
                <w:sz w:val="24"/>
              </w:rPr>
            </w:pPr>
            <w:r>
              <w:rPr>
                <w:rFonts w:ascii="Times New Roman" w:hAnsi="Times New Roman"/>
                <w:sz w:val="24"/>
              </w:rPr>
              <w:t>0240</w:t>
            </w:r>
          </w:p>
        </w:tc>
        <w:tc>
          <w:tcPr>
            <w:tcW w:w="7125" w:type="dxa"/>
            <w:gridSpan w:val="2"/>
            <w:shd w:val="clear" w:color="auto" w:fill="FFFFFF"/>
          </w:tcPr>
          <w:p w14:paraId="2024A61C" w14:textId="77777777" w:rsidR="006E48EA" w:rsidRPr="000B6B22" w:rsidRDefault="006E48EA">
            <w:pPr>
              <w:spacing w:before="0"/>
              <w:ind w:left="33"/>
              <w:rPr>
                <w:rFonts w:ascii="Times New Roman" w:hAnsi="Times New Roman"/>
                <w:b/>
                <w:sz w:val="24"/>
              </w:rPr>
            </w:pPr>
            <w:r>
              <w:rPr>
                <w:rFonts w:ascii="Times New Roman" w:hAnsi="Times New Roman"/>
                <w:b/>
                <w:sz w:val="24"/>
              </w:rPr>
              <w:t>1.2.1.1. Στοιχεία ενεργητικού περιφερειακών κυβερνήσεων / τοπικών αρχών ή οντοτήτων του δημοσίου τομέα (κράτους μέλους, ΣΣΚ 20 %)</w:t>
            </w:r>
          </w:p>
          <w:p w14:paraId="178CD9A0" w14:textId="77A9BE9E" w:rsidR="006E48EA" w:rsidRPr="000B6B22" w:rsidRDefault="00762F31">
            <w:pPr>
              <w:spacing w:before="0"/>
              <w:ind w:left="33"/>
              <w:rPr>
                <w:rFonts w:ascii="Times New Roman" w:hAnsi="Times New Roman"/>
                <w:b/>
                <w:bCs/>
                <w:sz w:val="24"/>
              </w:rPr>
            </w:pPr>
            <w:r>
              <w:rPr>
                <w:rFonts w:ascii="Times New Roman" w:hAnsi="Times New Roman"/>
                <w:sz w:val="24"/>
              </w:rPr>
              <w:t>Άρθρο 11 παράγραφος 1 στοιχείο α) του κατ’ εξουσιοδότηση κανονισμού (ΕΕ) 2015/61</w:t>
            </w:r>
          </w:p>
          <w:p w14:paraId="7BF70E5F" w14:textId="0ECBD792" w:rsidR="006E48EA" w:rsidRPr="000B6B22" w:rsidRDefault="006E48EA">
            <w:pPr>
              <w:spacing w:before="0"/>
              <w:ind w:left="33"/>
              <w:rPr>
                <w:rFonts w:ascii="Times New Roman" w:hAnsi="Times New Roman"/>
                <w:b/>
                <w:sz w:val="24"/>
              </w:rPr>
            </w:pPr>
            <w:r>
              <w:rPr>
                <w:rFonts w:ascii="Times New Roman" w:hAnsi="Times New Roman"/>
                <w:sz w:val="24"/>
              </w:rPr>
              <w:t xml:space="preserve">Στοιχεία ενεργητικού που αντιστοιχούν σε απαιτήσεις έναντι ή απαιτήσεις καλυπτόμενες από την εγγύηση περιφερειακών </w:t>
            </w:r>
            <w:r>
              <w:rPr>
                <w:rFonts w:ascii="Times New Roman" w:hAnsi="Times New Roman"/>
                <w:sz w:val="24"/>
              </w:rPr>
              <w:lastRenderedPageBreak/>
              <w:t>κυβερνήσεων, τοπικών αρχών ή οντοτήτων του δημόσιου τομέα σε κράτος μέλος, εφόσον τα ανοίγματα έναντι αυτών έχουν συντελεστή στάθμισης κινδύνου 20 %.</w:t>
            </w:r>
          </w:p>
        </w:tc>
      </w:tr>
      <w:tr w:rsidR="00B47B7D" w:rsidRPr="000B6B22" w14:paraId="2343E0E1" w14:textId="77777777" w:rsidTr="002B73CC">
        <w:tc>
          <w:tcPr>
            <w:tcW w:w="1097" w:type="dxa"/>
            <w:shd w:val="clear" w:color="auto" w:fill="FFFFFF"/>
            <w:vAlign w:val="center"/>
          </w:tcPr>
          <w:p w14:paraId="2D2232C3" w14:textId="4EB20513" w:rsidR="006E48EA" w:rsidRPr="000B6B22" w:rsidRDefault="00500145">
            <w:pPr>
              <w:spacing w:before="0"/>
              <w:rPr>
                <w:rFonts w:ascii="Times New Roman" w:hAnsi="Times New Roman"/>
                <w:sz w:val="24"/>
              </w:rPr>
            </w:pPr>
            <w:r>
              <w:rPr>
                <w:rFonts w:ascii="Times New Roman" w:hAnsi="Times New Roman"/>
                <w:sz w:val="24"/>
              </w:rPr>
              <w:lastRenderedPageBreak/>
              <w:t>0250</w:t>
            </w:r>
          </w:p>
        </w:tc>
        <w:tc>
          <w:tcPr>
            <w:tcW w:w="7125" w:type="dxa"/>
            <w:gridSpan w:val="2"/>
            <w:shd w:val="clear" w:color="auto" w:fill="FFFFFF"/>
          </w:tcPr>
          <w:p w14:paraId="14022348" w14:textId="660ACB7A" w:rsidR="006E48EA" w:rsidRPr="000B6B22" w:rsidRDefault="006E48EA">
            <w:pPr>
              <w:spacing w:before="0"/>
              <w:ind w:left="33"/>
              <w:rPr>
                <w:rFonts w:ascii="Times New Roman" w:hAnsi="Times New Roman"/>
                <w:b/>
                <w:sz w:val="24"/>
              </w:rPr>
            </w:pPr>
            <w:r>
              <w:rPr>
                <w:rFonts w:ascii="Times New Roman" w:hAnsi="Times New Roman"/>
                <w:b/>
                <w:sz w:val="24"/>
              </w:rPr>
              <w:t>1.2.1.2. Στοιχεία ενεργητικού κεντρικής τράπεζας ή κεντρικής /περιφερειακής κυβέρνησης ή τοπικών αρχών ή οντοτήτων του δημοσίου τομέα (τρίτης χώρας, ΣΣΚ 20 %)</w:t>
            </w:r>
          </w:p>
          <w:p w14:paraId="56F66E8E" w14:textId="6D3E7451" w:rsidR="006E48EA" w:rsidRPr="000B6B22" w:rsidRDefault="00762F31">
            <w:pPr>
              <w:spacing w:before="0"/>
              <w:ind w:left="33"/>
              <w:rPr>
                <w:rFonts w:ascii="Times New Roman" w:hAnsi="Times New Roman"/>
                <w:b/>
                <w:sz w:val="24"/>
              </w:rPr>
            </w:pPr>
            <w:r>
              <w:rPr>
                <w:rFonts w:ascii="Times New Roman" w:hAnsi="Times New Roman"/>
                <w:sz w:val="24"/>
              </w:rPr>
              <w:t>Άρθρο 11 παράγραφος 1 στοιχείο β) του κατ’ εξουσιοδότηση κανονισμού (ΕΕ) 2015/61</w:t>
            </w:r>
          </w:p>
          <w:p w14:paraId="14D750CF" w14:textId="3D19C1CC" w:rsidR="006E48EA" w:rsidRPr="000B6B22" w:rsidRDefault="006E48EA">
            <w:pPr>
              <w:spacing w:before="0"/>
              <w:ind w:left="33"/>
              <w:rPr>
                <w:rFonts w:ascii="Times New Roman" w:hAnsi="Times New Roman"/>
                <w:b/>
                <w:sz w:val="24"/>
              </w:rPr>
            </w:pPr>
            <w:r>
              <w:rPr>
                <w:rFonts w:ascii="Times New Roman" w:hAnsi="Times New Roman"/>
                <w:sz w:val="24"/>
              </w:rPr>
              <w:t>Στοιχεία ενεργητικού που αντιστοιχούν σε απαιτήσεις ή καλύπτονται από την εγγύηση της κεντρικής κυβέρνησης ή της κεντρικής τράπεζας τρίτης χώρας ή περιφερειακής κυβέρνησης, τοπικής αρχής ή οντότητας του δημοσίου τομέα σε τρίτη χώρα, εφόσον τα εν λόγω στοιχεία ενεργητικού έχουν συντελεστή στάθμισης κινδύνου 20 %.</w:t>
            </w:r>
          </w:p>
        </w:tc>
      </w:tr>
      <w:tr w:rsidR="00B47B7D" w:rsidRPr="000B6B22" w14:paraId="4158E1ED" w14:textId="77777777" w:rsidTr="002B73CC">
        <w:tc>
          <w:tcPr>
            <w:tcW w:w="1097" w:type="dxa"/>
            <w:shd w:val="clear" w:color="auto" w:fill="FFFFFF"/>
            <w:vAlign w:val="center"/>
          </w:tcPr>
          <w:p w14:paraId="7E16DCBE" w14:textId="5EED4AF9" w:rsidR="006E48EA" w:rsidRPr="000B6B22" w:rsidRDefault="00500145">
            <w:pPr>
              <w:spacing w:before="0"/>
              <w:rPr>
                <w:rFonts w:ascii="Times New Roman" w:hAnsi="Times New Roman"/>
                <w:sz w:val="24"/>
              </w:rPr>
            </w:pPr>
            <w:r>
              <w:rPr>
                <w:rFonts w:ascii="Times New Roman" w:hAnsi="Times New Roman"/>
                <w:sz w:val="24"/>
              </w:rPr>
              <w:t>0260</w:t>
            </w:r>
          </w:p>
        </w:tc>
        <w:tc>
          <w:tcPr>
            <w:tcW w:w="7125" w:type="dxa"/>
            <w:gridSpan w:val="2"/>
            <w:shd w:val="clear" w:color="auto" w:fill="FFFFFF"/>
          </w:tcPr>
          <w:p w14:paraId="4E1F7064" w14:textId="77777777" w:rsidR="006E48EA" w:rsidRPr="000B6B22" w:rsidRDefault="006E48EA">
            <w:pPr>
              <w:spacing w:before="0"/>
              <w:ind w:left="33"/>
              <w:rPr>
                <w:rFonts w:ascii="Times New Roman" w:hAnsi="Times New Roman"/>
                <w:b/>
                <w:sz w:val="24"/>
              </w:rPr>
            </w:pPr>
            <w:r>
              <w:rPr>
                <w:rFonts w:ascii="Times New Roman" w:hAnsi="Times New Roman"/>
                <w:b/>
                <w:sz w:val="24"/>
              </w:rPr>
              <w:t>1.2.1.3. Υψηλής ποιότητας καλυμμένα ομόλογα (ΒΠΠ2)</w:t>
            </w:r>
          </w:p>
          <w:p w14:paraId="31787B1F" w14:textId="1C299F25" w:rsidR="006E48EA" w:rsidRPr="000B6B22" w:rsidRDefault="00762F31">
            <w:pPr>
              <w:spacing w:before="0"/>
              <w:ind w:left="33"/>
              <w:rPr>
                <w:rFonts w:ascii="Times New Roman" w:hAnsi="Times New Roman"/>
                <w:sz w:val="24"/>
              </w:rPr>
            </w:pPr>
            <w:r>
              <w:rPr>
                <w:rFonts w:ascii="Times New Roman" w:hAnsi="Times New Roman"/>
                <w:sz w:val="24"/>
              </w:rPr>
              <w:t>Άρθρο 11 παράγραφος 1 στοιχείο γ) του κατ’ εξουσιοδότηση κανονισμού (ΕΕ) 2015/61</w:t>
            </w:r>
          </w:p>
          <w:p w14:paraId="69B434C2" w14:textId="202C8D12" w:rsidR="006E48EA" w:rsidRPr="000B6B22" w:rsidRDefault="006E48EA" w:rsidP="009D4EFF">
            <w:pPr>
              <w:spacing w:before="0"/>
              <w:ind w:left="33"/>
              <w:rPr>
                <w:rFonts w:ascii="Times New Roman" w:hAnsi="Times New Roman"/>
                <w:b/>
                <w:sz w:val="24"/>
              </w:rPr>
            </w:pPr>
            <w:r>
              <w:rPr>
                <w:rFonts w:ascii="Times New Roman" w:hAnsi="Times New Roman"/>
                <w:sz w:val="24"/>
              </w:rPr>
              <w:t>Στοιχεία ενεργητικού που αντιπροσωπεύουν ανοίγματα υπό μορφή υψηλής ποιότητας καλυμμένων ομολόγων, τα οποία είναι σύμφωνα με το άρθρο 11 παράγραφος 1 στοιχείο γ) του κατ’ εξουσιοδότηση κανονισμού (ΕΕ) 2015/61, εφόσον τα εν λόγω στοιχεία ενεργητικού έχουν πιστοληπτική αξιολόγηση από εντεταλμένο ΕΟΠΑ, η οποία είναι τουλάχιστον βαθμίδας πιστωτικής ποιότητας 2, σύμφωνα με το άρθρο 129 παράγραφος 4 του κανονισμού (ΕΕ) αριθ. 575/2013.</w:t>
            </w:r>
          </w:p>
        </w:tc>
      </w:tr>
      <w:tr w:rsidR="00B47B7D" w:rsidRPr="000B6B22" w14:paraId="15BAE93A" w14:textId="77777777" w:rsidTr="002B73CC">
        <w:tc>
          <w:tcPr>
            <w:tcW w:w="1097" w:type="dxa"/>
            <w:shd w:val="clear" w:color="auto" w:fill="FFFFFF"/>
            <w:vAlign w:val="center"/>
          </w:tcPr>
          <w:p w14:paraId="09E006B6" w14:textId="202295FE" w:rsidR="006E48EA" w:rsidRPr="000B6B22" w:rsidRDefault="00500145">
            <w:pPr>
              <w:spacing w:before="0"/>
              <w:rPr>
                <w:rFonts w:ascii="Times New Roman" w:hAnsi="Times New Roman"/>
                <w:sz w:val="24"/>
              </w:rPr>
            </w:pPr>
            <w:r>
              <w:rPr>
                <w:rFonts w:ascii="Times New Roman" w:hAnsi="Times New Roman"/>
                <w:sz w:val="24"/>
              </w:rPr>
              <w:t>0270</w:t>
            </w:r>
          </w:p>
        </w:tc>
        <w:tc>
          <w:tcPr>
            <w:tcW w:w="7125" w:type="dxa"/>
            <w:gridSpan w:val="2"/>
            <w:shd w:val="clear" w:color="auto" w:fill="FFFFFF"/>
          </w:tcPr>
          <w:p w14:paraId="726E1DC6" w14:textId="77777777" w:rsidR="006E48EA" w:rsidRPr="000B6B22" w:rsidRDefault="006E48EA">
            <w:pPr>
              <w:spacing w:before="0"/>
              <w:ind w:left="33"/>
              <w:rPr>
                <w:rFonts w:ascii="Times New Roman" w:hAnsi="Times New Roman"/>
                <w:b/>
                <w:sz w:val="24"/>
              </w:rPr>
            </w:pPr>
            <w:r>
              <w:rPr>
                <w:rFonts w:ascii="Times New Roman" w:hAnsi="Times New Roman"/>
                <w:b/>
                <w:sz w:val="24"/>
              </w:rPr>
              <w:t>1.2.1.4. Υψηλής ποιότητας καλυμμένα ομόλογα (τρίτης χώρας, ΒΠΠ1)</w:t>
            </w:r>
          </w:p>
          <w:p w14:paraId="15ECAB9E" w14:textId="5B16661D" w:rsidR="006E48EA" w:rsidRPr="000B6B22" w:rsidRDefault="00762F31">
            <w:pPr>
              <w:spacing w:before="0"/>
              <w:ind w:left="33"/>
              <w:rPr>
                <w:rFonts w:ascii="Times New Roman" w:hAnsi="Times New Roman"/>
                <w:bCs/>
                <w:sz w:val="24"/>
              </w:rPr>
            </w:pPr>
            <w:r>
              <w:rPr>
                <w:rFonts w:ascii="Times New Roman" w:hAnsi="Times New Roman"/>
                <w:sz w:val="24"/>
              </w:rPr>
              <w:t>Άρθρο 11 παράγραφος 1 στοιχείο δ) του κατ’ εξουσιοδότηση κανονισμού (ΕΕ) 2015/61</w:t>
            </w:r>
          </w:p>
          <w:p w14:paraId="2AB2502F" w14:textId="682CBCD6" w:rsidR="006E48EA" w:rsidRPr="000B6B22" w:rsidRDefault="006E48EA">
            <w:pPr>
              <w:spacing w:before="0"/>
              <w:ind w:left="33"/>
              <w:rPr>
                <w:rFonts w:ascii="Times New Roman" w:hAnsi="Times New Roman"/>
                <w:b/>
                <w:sz w:val="24"/>
              </w:rPr>
            </w:pPr>
            <w:r>
              <w:rPr>
                <w:rFonts w:ascii="Times New Roman" w:hAnsi="Times New Roman"/>
                <w:sz w:val="24"/>
              </w:rPr>
              <w:t>Στοιχεία ενεργητικού που αντιπροσωπεύουν ανοίγματα υπό τη μορφή καλυμμένων ομολόγων, τα οποία έχουν εκδοθεί από πιστωτικά ιδρύματα σε τρίτες χώρες και τα οποία είναι σύμφωνα με το άρθρο 11 παράγραφος 1 στοιχείο δ) του κατ’ εξουσιοδότηση κανονισμού (ΕΕ) 2015/61, εφόσον τα εν λόγω στοιχεία ενεργητικού έχουν πιστοληπτική αξιολόγηση από εντεταλμένο ΕΟΠΑ, η οποία είναι βαθμίδας πιστωτικής ποιότητας 1, σύμφωνα με το άρθρο 129 παράγραφος 4 του κανονισμού (ΕΕ) αριθ. 575/2013.</w:t>
            </w:r>
          </w:p>
        </w:tc>
      </w:tr>
      <w:tr w:rsidR="00B47B7D" w:rsidRPr="000B6B22" w14:paraId="7A023320" w14:textId="77777777" w:rsidTr="002B73CC">
        <w:tc>
          <w:tcPr>
            <w:tcW w:w="1097" w:type="dxa"/>
            <w:shd w:val="clear" w:color="auto" w:fill="FFFFFF"/>
            <w:vAlign w:val="center"/>
          </w:tcPr>
          <w:p w14:paraId="3E921ADB" w14:textId="7397F7A4" w:rsidR="006E48EA" w:rsidRPr="000B6B22" w:rsidRDefault="00500145">
            <w:pPr>
              <w:spacing w:before="0"/>
              <w:rPr>
                <w:rFonts w:ascii="Times New Roman" w:hAnsi="Times New Roman"/>
                <w:sz w:val="24"/>
              </w:rPr>
            </w:pPr>
            <w:r>
              <w:rPr>
                <w:rFonts w:ascii="Times New Roman" w:hAnsi="Times New Roman"/>
                <w:sz w:val="24"/>
              </w:rPr>
              <w:t>0280</w:t>
            </w:r>
          </w:p>
        </w:tc>
        <w:tc>
          <w:tcPr>
            <w:tcW w:w="7125" w:type="dxa"/>
            <w:gridSpan w:val="2"/>
            <w:shd w:val="clear" w:color="auto" w:fill="FFFFFF"/>
          </w:tcPr>
          <w:p w14:paraId="061D13A9" w14:textId="77777777" w:rsidR="006E48EA" w:rsidRPr="000B6B22" w:rsidRDefault="006E48EA">
            <w:pPr>
              <w:spacing w:before="0"/>
              <w:ind w:left="33"/>
              <w:rPr>
                <w:rFonts w:ascii="Times New Roman" w:hAnsi="Times New Roman"/>
                <w:b/>
                <w:sz w:val="24"/>
              </w:rPr>
            </w:pPr>
            <w:r>
              <w:rPr>
                <w:rFonts w:ascii="Times New Roman" w:hAnsi="Times New Roman"/>
                <w:b/>
                <w:sz w:val="24"/>
              </w:rPr>
              <w:t>1.2.1.5. Εταιρικοί χρεωστικοί τίτλοι (ΒΠΠ1)</w:t>
            </w:r>
          </w:p>
          <w:p w14:paraId="0EBD2A2D" w14:textId="64CFB6E4" w:rsidR="006E48EA" w:rsidRPr="000B6B22" w:rsidRDefault="00762F31">
            <w:pPr>
              <w:spacing w:before="0"/>
              <w:ind w:left="33"/>
              <w:rPr>
                <w:rFonts w:ascii="Times New Roman" w:hAnsi="Times New Roman"/>
                <w:bCs/>
                <w:sz w:val="24"/>
              </w:rPr>
            </w:pPr>
            <w:r>
              <w:rPr>
                <w:rFonts w:ascii="Times New Roman" w:hAnsi="Times New Roman"/>
                <w:sz w:val="24"/>
              </w:rPr>
              <w:t>Άρθρο 11 παράγραφος 1 στοιχείο ε) του κατ’ εξουσιοδότηση κανονισμού (ΕΕ) 2015/61</w:t>
            </w:r>
          </w:p>
          <w:p w14:paraId="054D1A9A" w14:textId="17553AA8" w:rsidR="006E48EA" w:rsidRPr="000B6B22" w:rsidRDefault="006E48EA">
            <w:pPr>
              <w:spacing w:before="0"/>
              <w:ind w:left="33"/>
              <w:rPr>
                <w:rFonts w:ascii="Times New Roman" w:hAnsi="Times New Roman"/>
                <w:b/>
                <w:sz w:val="24"/>
              </w:rPr>
            </w:pPr>
            <w:r>
              <w:rPr>
                <w:rFonts w:ascii="Times New Roman" w:hAnsi="Times New Roman"/>
                <w:sz w:val="24"/>
              </w:rPr>
              <w:t>Εταιρικοί χρεωστικοί τίτλοι που είναι σύμφωνοι με το άρθρο 11 παράγραφος 1 στοιχείο ε) του κατ’ εξουσιοδότηση κανονισμού (ΕΕ) 2015/61.</w:t>
            </w:r>
          </w:p>
        </w:tc>
      </w:tr>
      <w:tr w:rsidR="00B47B7D" w:rsidRPr="000B6B22" w14:paraId="0C1E1ACA" w14:textId="77777777" w:rsidTr="002B73CC">
        <w:tc>
          <w:tcPr>
            <w:tcW w:w="1097" w:type="dxa"/>
            <w:shd w:val="clear" w:color="auto" w:fill="FFFFFF"/>
            <w:vAlign w:val="center"/>
          </w:tcPr>
          <w:p w14:paraId="417040C5" w14:textId="5008F132" w:rsidR="006E48EA" w:rsidRPr="000B6B22" w:rsidRDefault="00500145">
            <w:pPr>
              <w:spacing w:before="0"/>
              <w:rPr>
                <w:rFonts w:ascii="Times New Roman" w:hAnsi="Times New Roman"/>
                <w:sz w:val="24"/>
              </w:rPr>
            </w:pPr>
            <w:r>
              <w:rPr>
                <w:rFonts w:ascii="Times New Roman" w:hAnsi="Times New Roman"/>
                <w:sz w:val="24"/>
              </w:rPr>
              <w:t>0290</w:t>
            </w:r>
          </w:p>
        </w:tc>
        <w:tc>
          <w:tcPr>
            <w:tcW w:w="7125" w:type="dxa"/>
            <w:gridSpan w:val="2"/>
            <w:shd w:val="clear" w:color="auto" w:fill="FFFFFF"/>
          </w:tcPr>
          <w:p w14:paraId="0A71A002" w14:textId="77777777" w:rsidR="006E48EA" w:rsidRPr="000B6B22" w:rsidRDefault="006E48EA">
            <w:pPr>
              <w:spacing w:before="0"/>
              <w:ind w:left="33"/>
              <w:rPr>
                <w:rFonts w:ascii="Times New Roman" w:hAnsi="Times New Roman"/>
                <w:b/>
                <w:sz w:val="24"/>
              </w:rPr>
            </w:pPr>
            <w:r>
              <w:rPr>
                <w:rFonts w:ascii="Times New Roman" w:hAnsi="Times New Roman"/>
                <w:b/>
                <w:sz w:val="24"/>
              </w:rPr>
              <w:t>1.2.1.6. Αποδεκτές μετοχές/μερίδια σε ΟΣΕ: τα υποκείμενα στοιχεία είναι στοιχεία ενεργητικού επιπέδου 2Α</w:t>
            </w:r>
          </w:p>
          <w:p w14:paraId="5485CCA8" w14:textId="676B0AF2" w:rsidR="006E48EA" w:rsidRPr="000B6B22" w:rsidRDefault="00762F31">
            <w:pPr>
              <w:spacing w:before="0"/>
              <w:ind w:left="33"/>
              <w:rPr>
                <w:rFonts w:ascii="Times New Roman" w:hAnsi="Times New Roman"/>
                <w:b/>
                <w:bCs/>
                <w:sz w:val="24"/>
              </w:rPr>
            </w:pPr>
            <w:r>
              <w:rPr>
                <w:rFonts w:ascii="Times New Roman" w:hAnsi="Times New Roman"/>
                <w:sz w:val="24"/>
              </w:rPr>
              <w:lastRenderedPageBreak/>
              <w:t>Άρθρο 15 παράγραφος 2 στοιχείο δ) του κατ’ εξουσιοδότηση κανονισμού (ΕΕ) 2015/61</w:t>
            </w:r>
          </w:p>
          <w:p w14:paraId="7D7EFF89" w14:textId="3BB7FB80" w:rsidR="006E48EA" w:rsidRPr="000B6B22" w:rsidRDefault="006E48EA">
            <w:pPr>
              <w:spacing w:before="0"/>
              <w:ind w:left="33"/>
              <w:rPr>
                <w:rFonts w:ascii="Times New Roman" w:hAnsi="Times New Roman"/>
                <w:b/>
                <w:sz w:val="24"/>
              </w:rPr>
            </w:pPr>
            <w:r>
              <w:rPr>
                <w:rFonts w:ascii="Times New Roman" w:hAnsi="Times New Roman"/>
                <w:sz w:val="24"/>
              </w:rPr>
              <w:t>Τα μερίδια ή οι μετοχές σε ΟΣΕ τα υποκείμενα στοιχεία ενεργητικού των οποίων αντιστοιχούν σε στοιχεία ενεργητικού που χαρακτηρίζονται πράγματι ως στοιχεία ενεργητικού επιπέδου 2Α, όπως ορίζεται στο άρθρο 11 του κατ’ εξουσιοδότηση κανονισμού (ΕΕ) 2015/61.</w:t>
            </w:r>
          </w:p>
        </w:tc>
      </w:tr>
      <w:tr w:rsidR="00B47B7D" w:rsidRPr="000B6B22" w14:paraId="246CFE52" w14:textId="77777777" w:rsidTr="002B73CC">
        <w:tc>
          <w:tcPr>
            <w:tcW w:w="1097" w:type="dxa"/>
            <w:shd w:val="clear" w:color="auto" w:fill="FFFFFF"/>
            <w:vAlign w:val="center"/>
          </w:tcPr>
          <w:p w14:paraId="79F68023" w14:textId="45F8CEC7" w:rsidR="006E48EA" w:rsidRPr="000B6B22" w:rsidRDefault="00500145">
            <w:pPr>
              <w:spacing w:before="0"/>
              <w:rPr>
                <w:rFonts w:ascii="Times New Roman" w:hAnsi="Times New Roman"/>
                <w:sz w:val="24"/>
              </w:rPr>
            </w:pPr>
            <w:r>
              <w:rPr>
                <w:rFonts w:ascii="Times New Roman" w:hAnsi="Times New Roman"/>
                <w:sz w:val="24"/>
              </w:rPr>
              <w:lastRenderedPageBreak/>
              <w:t>0300</w:t>
            </w:r>
          </w:p>
        </w:tc>
        <w:tc>
          <w:tcPr>
            <w:tcW w:w="7125" w:type="dxa"/>
            <w:gridSpan w:val="2"/>
            <w:shd w:val="clear" w:color="auto" w:fill="FFFFFF"/>
          </w:tcPr>
          <w:p w14:paraId="009EA6DF" w14:textId="77777777" w:rsidR="006E48EA" w:rsidRPr="000B6B22" w:rsidRDefault="006E48EA">
            <w:pPr>
              <w:spacing w:before="0"/>
              <w:ind w:left="33"/>
              <w:rPr>
                <w:rFonts w:ascii="Times New Roman" w:hAnsi="Times New Roman"/>
                <w:b/>
                <w:sz w:val="24"/>
              </w:rPr>
            </w:pPr>
            <w:r>
              <w:rPr>
                <w:rFonts w:ascii="Times New Roman" w:hAnsi="Times New Roman"/>
                <w:b/>
                <w:sz w:val="24"/>
              </w:rPr>
              <w:t>1.2.1.7. Κεντρικά πιστωτικά ιδρύματα: στοιχεία ενεργητικού επιπέδου 2Α που θεωρούνται ρευστά στοιχεία ενεργητικού για το πιστωτικό ίδρυμα που πραγματοποιεί την κατάθεση</w:t>
            </w:r>
          </w:p>
          <w:p w14:paraId="477BEB3A" w14:textId="3826F3DD" w:rsidR="006E48EA" w:rsidRPr="000B6B22" w:rsidRDefault="006E48EA">
            <w:pPr>
              <w:spacing w:before="0"/>
              <w:ind w:left="33"/>
              <w:rPr>
                <w:rFonts w:ascii="Times New Roman" w:hAnsi="Times New Roman"/>
                <w:bCs/>
                <w:sz w:val="24"/>
              </w:rPr>
            </w:pPr>
            <w:r>
              <w:rPr>
                <w:rFonts w:ascii="Times New Roman" w:hAnsi="Times New Roman"/>
                <w:sz w:val="24"/>
              </w:rPr>
              <w:t>Άρθρο 27 παράγραφος 3 του κατ’ εξουσιοδότηση κανονισμού (ΕΕ) 2015/61.</w:t>
            </w:r>
          </w:p>
          <w:p w14:paraId="144118BA" w14:textId="29A1F154" w:rsidR="006E48EA" w:rsidRPr="000B6B22" w:rsidRDefault="00592A6C">
            <w:pPr>
              <w:spacing w:before="0"/>
              <w:ind w:left="33"/>
              <w:rPr>
                <w:rFonts w:ascii="Times New Roman" w:hAnsi="Times New Roman"/>
                <w:sz w:val="24"/>
              </w:rPr>
            </w:pPr>
            <w:r>
              <w:rPr>
                <w:rFonts w:ascii="Times New Roman" w:hAnsi="Times New Roman"/>
                <w:sz w:val="24"/>
              </w:rPr>
              <w:t>Σύμφωνα με το άρθρο 27 παράγραφος 3 του κατ’ εξουσιοδότηση κανονισμού (ΕΕ) 2015/61, πρέπει να εντοπιστούν τα ρευστά στοιχεία ενεργητικού που αντιστοιχούν σε καταθέσεις από πιστωτικά ιδρύματα προς το κεντρικό ίδρυμα και τα οποία θεωρούνται ρευστά στοιχεία ενεργητικού για το πιστωτικό ίδρυμα που πραγματοποιεί την κατάθεση. Τα εν λόγω ρευστά στοιχεία ενεργητικού δεν προσμετρώνται για την κάλυψη άλλων εκροών εκτός από εκείνες που αντιστοιχούν σε καταθέσεις και δεν λαμβάνονται υπόψη για τους υπολογισμούς της σύνθεσης του εναπομένοντος αποθέματος ασφαλείας ρευστότητας βάσει του άρθρου 17 του κατ’ εξουσιοδότηση κανονισμού (ΕΕ) 2015/61 για το κεντρικό ίδρυμα σε ατομικό επίπεδο.</w:t>
            </w:r>
          </w:p>
          <w:p w14:paraId="447C2B69" w14:textId="314B91D3" w:rsidR="006E48EA" w:rsidRPr="000B6B22" w:rsidRDefault="006E48EA">
            <w:pPr>
              <w:spacing w:before="0"/>
              <w:ind w:left="33"/>
              <w:rPr>
                <w:rFonts w:ascii="Times New Roman" w:hAnsi="Times New Roman"/>
                <w:b/>
                <w:sz w:val="24"/>
              </w:rPr>
            </w:pPr>
            <w:r>
              <w:rPr>
                <w:rFonts w:ascii="Times New Roman" w:hAnsi="Times New Roman"/>
                <w:sz w:val="24"/>
              </w:rPr>
              <w:t>Τα κεντρικά ιδρύματα, όταν αναφέρουν τα εν λόγω στοιχεία ενεργητικού, εξασφαλίζουν ότι το ποσό αυτών των ρευστών στοιχείων ενεργητικού μετά την περικοπή δεν υπερβαίνει την εκροή από τις αντίστοιχες καταθέσεις.</w:t>
            </w:r>
          </w:p>
          <w:p w14:paraId="3B3CBEB5" w14:textId="3B262079" w:rsidR="006E48EA" w:rsidRPr="000B6B22" w:rsidRDefault="006E48EA">
            <w:pPr>
              <w:spacing w:before="0"/>
              <w:ind w:left="33"/>
              <w:rPr>
                <w:rFonts w:ascii="Times New Roman" w:hAnsi="Times New Roman"/>
                <w:b/>
                <w:sz w:val="24"/>
              </w:rPr>
            </w:pPr>
            <w:r>
              <w:rPr>
                <w:rFonts w:ascii="Times New Roman" w:hAnsi="Times New Roman"/>
                <w:sz w:val="24"/>
              </w:rPr>
              <w:t>Τα στοιχεία ενεργητικού που αναφέρονται στην παρούσα γραμμή είναι στοιχεία ενεργητικού επιπέδου 2Α.</w:t>
            </w:r>
          </w:p>
        </w:tc>
      </w:tr>
      <w:tr w:rsidR="00B47B7D" w:rsidRPr="000B6B22" w14:paraId="1FCC4DA4" w14:textId="77777777" w:rsidTr="002B73CC">
        <w:tc>
          <w:tcPr>
            <w:tcW w:w="1097" w:type="dxa"/>
            <w:shd w:val="clear" w:color="auto" w:fill="FFFFFF"/>
            <w:vAlign w:val="center"/>
          </w:tcPr>
          <w:p w14:paraId="04655E18" w14:textId="5B8EF26B" w:rsidR="006E48EA" w:rsidRPr="000B6B22" w:rsidRDefault="00500145">
            <w:pPr>
              <w:spacing w:before="0"/>
              <w:rPr>
                <w:rFonts w:ascii="Times New Roman" w:hAnsi="Times New Roman"/>
                <w:sz w:val="24"/>
              </w:rPr>
            </w:pPr>
            <w:r>
              <w:rPr>
                <w:rFonts w:ascii="Times New Roman" w:hAnsi="Times New Roman"/>
                <w:sz w:val="24"/>
              </w:rPr>
              <w:t>0310</w:t>
            </w:r>
          </w:p>
        </w:tc>
        <w:tc>
          <w:tcPr>
            <w:tcW w:w="7125" w:type="dxa"/>
            <w:gridSpan w:val="2"/>
            <w:shd w:val="clear" w:color="auto" w:fill="FFFFFF"/>
          </w:tcPr>
          <w:p w14:paraId="3FD76B14" w14:textId="77777777" w:rsidR="006E48EA" w:rsidRPr="000B6B22" w:rsidRDefault="006E48EA">
            <w:pPr>
              <w:spacing w:before="0"/>
              <w:ind w:left="33"/>
              <w:rPr>
                <w:rFonts w:ascii="Times New Roman" w:hAnsi="Times New Roman"/>
                <w:b/>
                <w:sz w:val="24"/>
              </w:rPr>
            </w:pPr>
            <w:r>
              <w:rPr>
                <w:rFonts w:ascii="Times New Roman" w:hAnsi="Times New Roman"/>
                <w:b/>
                <w:sz w:val="24"/>
              </w:rPr>
              <w:t>1.2.2. Σύνολο μη προσαρμοσμένων στοιχείων ενεργητικού ΕΠΙΠΕΔΟΥ 2Β</w:t>
            </w:r>
          </w:p>
          <w:p w14:paraId="4678D485" w14:textId="6C15F124" w:rsidR="006E48EA" w:rsidRPr="000B6B22" w:rsidRDefault="006E48EA">
            <w:pPr>
              <w:spacing w:before="0"/>
              <w:ind w:left="33"/>
              <w:rPr>
                <w:rFonts w:ascii="Times New Roman" w:hAnsi="Times New Roman"/>
                <w:sz w:val="24"/>
              </w:rPr>
            </w:pPr>
            <w:r>
              <w:rPr>
                <w:rFonts w:ascii="Times New Roman" w:hAnsi="Times New Roman"/>
                <w:sz w:val="24"/>
              </w:rPr>
              <w:t>Άρθρα 12 έως 16 και άρθρο 19 του κατ’ εξουσιοδότηση κανονισμού (ΕΕ) 2015/61</w:t>
            </w:r>
          </w:p>
          <w:p w14:paraId="07BABB78" w14:textId="5204BA6B" w:rsidR="006E48EA" w:rsidRPr="000B6B22" w:rsidRDefault="006E48EA">
            <w:pPr>
              <w:spacing w:before="0"/>
              <w:ind w:left="33"/>
              <w:rPr>
                <w:rFonts w:ascii="Times New Roman" w:hAnsi="Times New Roman"/>
                <w:bCs/>
                <w:sz w:val="24"/>
              </w:rPr>
            </w:pPr>
            <w:r>
              <w:rPr>
                <w:rFonts w:ascii="Times New Roman" w:hAnsi="Times New Roman"/>
                <w:sz w:val="24"/>
              </w:rPr>
              <w:t>Τα στοιχεία ενεργητικού που αναφέρονται στο παρόν υποτμήμα έχουν προσδιοριστεί ρητά ως στοιχεία ενεργητικού επιπέδου 2Β, σύμφωνα με τον κατ’ εξουσιοδότηση κανονισμό (ΕΕ) 2015/61.</w:t>
            </w:r>
          </w:p>
          <w:p w14:paraId="73EC8074" w14:textId="58BFD23B"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u w:val="none"/>
              </w:rPr>
              <w:t>Τα πιστωτικά ιδρύματα αναφέρουν στη στήλη 0010 το άθροισμα της συνολικής αγοραίας αξίας των στοιχείων ενεργητικού επιπέδου 2Β, χωρίς να λαμβάνουν υπόψη τις απαιτήσεις του άρθρου 17 του κατ’ εξουσιοδότηση κανονισμού (ΕΕ) 2015/61.</w:t>
            </w:r>
          </w:p>
          <w:p w14:paraId="7B4EF9A6" w14:textId="030A4C22" w:rsidR="006E48EA" w:rsidRPr="000B6B22" w:rsidRDefault="006E48EA">
            <w:pPr>
              <w:spacing w:before="0"/>
              <w:ind w:left="33"/>
              <w:rPr>
                <w:rFonts w:ascii="Times New Roman" w:hAnsi="Times New Roman"/>
                <w:b/>
                <w:sz w:val="24"/>
              </w:rPr>
            </w:pPr>
            <w:r>
              <w:rPr>
                <w:rStyle w:val="InstructionsTabelleberschrift"/>
                <w:rFonts w:ascii="Times New Roman" w:hAnsi="Times New Roman"/>
                <w:b w:val="0"/>
                <w:sz w:val="24"/>
                <w:u w:val="none"/>
              </w:rPr>
              <w:t>Τα πιστωτικά ιδρύματα αναφέρουν στη στήλη 0040 το άθροισμα του συνολικού σταθμισμένου ποσού των στοιχείων ενεργητικού επιπέδου 2Β, χωρίς να λαμβάνουν υπόψη τις απαιτήσεις του άρθρου 17 του κατ’ εξουσιοδότηση κανονισμού (ΕΕ) 2015/61.</w:t>
            </w:r>
          </w:p>
        </w:tc>
      </w:tr>
      <w:tr w:rsidR="00B47B7D" w:rsidRPr="000B6B22" w14:paraId="0CBD683C" w14:textId="77777777" w:rsidTr="002B73CC">
        <w:tc>
          <w:tcPr>
            <w:tcW w:w="1097" w:type="dxa"/>
            <w:shd w:val="clear" w:color="auto" w:fill="FFFFFF"/>
            <w:vAlign w:val="center"/>
          </w:tcPr>
          <w:p w14:paraId="7BCB5BA0" w14:textId="63EE3E26" w:rsidR="006E48EA" w:rsidRPr="000B6B22" w:rsidRDefault="00500145">
            <w:pPr>
              <w:spacing w:before="0"/>
              <w:rPr>
                <w:rFonts w:ascii="Times New Roman" w:hAnsi="Times New Roman"/>
                <w:sz w:val="24"/>
              </w:rPr>
            </w:pPr>
            <w:r>
              <w:rPr>
                <w:rFonts w:ascii="Times New Roman" w:hAnsi="Times New Roman"/>
                <w:sz w:val="24"/>
              </w:rPr>
              <w:t>0320</w:t>
            </w:r>
          </w:p>
        </w:tc>
        <w:tc>
          <w:tcPr>
            <w:tcW w:w="7125" w:type="dxa"/>
            <w:gridSpan w:val="2"/>
            <w:shd w:val="clear" w:color="auto" w:fill="FFFFFF"/>
          </w:tcPr>
          <w:p w14:paraId="4386FB2A" w14:textId="77777777" w:rsidR="006E48EA" w:rsidRPr="000B6B22" w:rsidRDefault="006E48EA">
            <w:pPr>
              <w:spacing w:before="0"/>
              <w:ind w:left="33"/>
              <w:rPr>
                <w:rFonts w:ascii="Times New Roman" w:hAnsi="Times New Roman"/>
                <w:b/>
                <w:sz w:val="24"/>
              </w:rPr>
            </w:pPr>
            <w:r>
              <w:rPr>
                <w:rFonts w:ascii="Times New Roman" w:hAnsi="Times New Roman"/>
                <w:b/>
                <w:sz w:val="24"/>
              </w:rPr>
              <w:t>1.2.2.1. Τίτλοι προερχόμενοι από τιτλοποίηση (στεγαστικά δάνεια, ΒΠΠ1)</w:t>
            </w:r>
          </w:p>
          <w:p w14:paraId="3C73763C" w14:textId="2643A2BB" w:rsidR="006E48EA" w:rsidRPr="000B6B22" w:rsidRDefault="00762F31">
            <w:pPr>
              <w:spacing w:before="0"/>
              <w:ind w:left="33"/>
              <w:rPr>
                <w:rFonts w:ascii="Times New Roman" w:hAnsi="Times New Roman"/>
                <w:b/>
                <w:bCs/>
                <w:sz w:val="24"/>
              </w:rPr>
            </w:pPr>
            <w:r>
              <w:rPr>
                <w:rFonts w:ascii="Times New Roman" w:hAnsi="Times New Roman"/>
                <w:sz w:val="24"/>
              </w:rPr>
              <w:lastRenderedPageBreak/>
              <w:t>Άρθρο 12 παράγραφος 1 στοιχείο α) και άρθρο 13 παράγραφος 2 στοιχείο ζ) σημεία i) και ii) του κατ’ εξουσιοδότηση κανονισμού (ΕΕ) 2015/61</w:t>
            </w:r>
          </w:p>
          <w:p w14:paraId="51139131" w14:textId="3D17697A" w:rsidR="006E48EA" w:rsidRPr="000B6B22" w:rsidRDefault="006E48EA">
            <w:pPr>
              <w:spacing w:before="0"/>
              <w:ind w:left="33"/>
              <w:rPr>
                <w:rFonts w:ascii="Times New Roman" w:hAnsi="Times New Roman"/>
                <w:sz w:val="24"/>
              </w:rPr>
            </w:pPr>
            <w:r>
              <w:rPr>
                <w:rFonts w:ascii="Times New Roman" w:hAnsi="Times New Roman"/>
                <w:sz w:val="24"/>
              </w:rPr>
              <w:t>Ανοίγματα υπό τη μορφή τίτλων προερχόμενων από τιτλοποίηση οι οποίοι πληρούν τις απαιτήσεις που ορίζονται στο άρθρο 13 του κατ’ εξουσιοδότηση κανονισμού (ΕΕ) 2015/61, εφόσον συνοδεύονται από στεγαστικά δάνεια εξασφαλισμένα με πρώτη υποθήκη ή στεγαστικά δάνεια πλήρως εξασφαλισμένα σύμφωνα με το άρθρο 13 παράγραφος 2 στοιχείο ζ) σημεία i) και ii) του κατ’ εξουσιοδότηση κανονισμού (ΕΕ) 2015/61.</w:t>
            </w:r>
          </w:p>
          <w:p w14:paraId="28F9A861" w14:textId="207D3F80" w:rsidR="006E48EA" w:rsidRPr="000B6B22" w:rsidRDefault="006E48EA">
            <w:pPr>
              <w:spacing w:before="0"/>
              <w:rPr>
                <w:rFonts w:ascii="Times New Roman" w:hAnsi="Times New Roman"/>
                <w:b/>
                <w:sz w:val="24"/>
              </w:rPr>
            </w:pPr>
            <w:r>
              <w:rPr>
                <w:rStyle w:val="FormatvorlageInstructionsTabelleText"/>
                <w:rFonts w:ascii="Times New Roman" w:hAnsi="Times New Roman"/>
                <w:sz w:val="24"/>
              </w:rPr>
              <w:t>Τα στοιχεία ενεργητικού που υπόκεινται στη μεταβατική διάταξη που ορίζεται στο άρθρο 37 του κατ’ εξουσιοδότηση κανονισμού (ΕΕ) 2015/61 αναφέρονται στην παρούσα γραμμή.</w:t>
            </w:r>
          </w:p>
        </w:tc>
      </w:tr>
      <w:tr w:rsidR="00B47B7D" w:rsidRPr="000B6B22" w14:paraId="4BADDFAF" w14:textId="77777777" w:rsidTr="002B73CC">
        <w:tc>
          <w:tcPr>
            <w:tcW w:w="1097" w:type="dxa"/>
            <w:shd w:val="clear" w:color="auto" w:fill="FFFFFF"/>
            <w:vAlign w:val="center"/>
          </w:tcPr>
          <w:p w14:paraId="595474DA" w14:textId="14DED3E3" w:rsidR="006E48EA" w:rsidRPr="000B6B22" w:rsidRDefault="00500145">
            <w:pPr>
              <w:spacing w:before="0"/>
              <w:rPr>
                <w:rFonts w:ascii="Times New Roman" w:hAnsi="Times New Roman"/>
                <w:sz w:val="24"/>
              </w:rPr>
            </w:pPr>
            <w:r>
              <w:rPr>
                <w:rFonts w:ascii="Times New Roman" w:hAnsi="Times New Roman"/>
                <w:sz w:val="24"/>
              </w:rPr>
              <w:lastRenderedPageBreak/>
              <w:t>0330</w:t>
            </w:r>
          </w:p>
        </w:tc>
        <w:tc>
          <w:tcPr>
            <w:tcW w:w="7125" w:type="dxa"/>
            <w:gridSpan w:val="2"/>
            <w:shd w:val="clear" w:color="auto" w:fill="FFFFFF"/>
          </w:tcPr>
          <w:p w14:paraId="1813ABBC" w14:textId="77777777" w:rsidR="006E48EA" w:rsidRPr="000B6B22" w:rsidRDefault="006E48EA">
            <w:pPr>
              <w:spacing w:before="0"/>
              <w:ind w:left="33"/>
              <w:rPr>
                <w:rFonts w:ascii="Times New Roman" w:hAnsi="Times New Roman"/>
                <w:b/>
                <w:sz w:val="24"/>
              </w:rPr>
            </w:pPr>
            <w:r>
              <w:rPr>
                <w:rFonts w:ascii="Times New Roman" w:hAnsi="Times New Roman"/>
                <w:b/>
                <w:sz w:val="24"/>
              </w:rPr>
              <w:t>1.2.2.2. Τίτλοι προερχόμενοι από τιτλοποίηση (δάνεια αγοράς αυτοκινήτου, ΒΠΠ1)</w:t>
            </w:r>
          </w:p>
          <w:p w14:paraId="5FC4D813" w14:textId="7FF9DD53" w:rsidR="006E48EA" w:rsidRPr="000B6B22" w:rsidRDefault="00762F31">
            <w:pPr>
              <w:spacing w:before="0"/>
              <w:ind w:left="33"/>
              <w:rPr>
                <w:rFonts w:ascii="Times New Roman" w:hAnsi="Times New Roman"/>
                <w:sz w:val="24"/>
              </w:rPr>
            </w:pPr>
            <w:r>
              <w:rPr>
                <w:rFonts w:ascii="Times New Roman" w:hAnsi="Times New Roman"/>
                <w:sz w:val="24"/>
              </w:rPr>
              <w:t>Άρθρο 12 παράγραφος 1 στοιχείο α) και άρθρο 13 παράγραφος 2 στοιχείο ζ) σημείο iv) του κατ’ εξουσιοδότηση κανονισμού (ΕΕ) 2015/61</w:t>
            </w:r>
          </w:p>
          <w:p w14:paraId="733176F7" w14:textId="2FACB276" w:rsidR="006E48EA" w:rsidRPr="000B6B22" w:rsidRDefault="006E48EA">
            <w:pPr>
              <w:spacing w:before="0"/>
              <w:ind w:left="33"/>
              <w:rPr>
                <w:rFonts w:ascii="Times New Roman" w:hAnsi="Times New Roman"/>
                <w:b/>
                <w:sz w:val="24"/>
              </w:rPr>
            </w:pPr>
            <w:r>
              <w:rPr>
                <w:rFonts w:ascii="Times New Roman" w:hAnsi="Times New Roman"/>
                <w:sz w:val="24"/>
              </w:rPr>
              <w:t>Ανοίγματα υπό τη μορφή τίτλων προερχόμενων από τιτλοποίηση οι οποίοι πληρούν τις απαιτήσεις που ορίζονται στο άρθρο 13 του κατ’ εξουσιοδότηση κανονισμού (ΕΕ) 2015/61, εφόσον συνοδεύονται από δάνεια αγοράς αυτοκινήτου και χρηματοδοτικές μισθώσεις σύμφωνα με το άρθρο 13 παράγραφος 2 στοιχείο ζ) σημείο iv) του κατ’ εξουσιοδότηση κανονισμού (ΕΕ) 2015/61.</w:t>
            </w:r>
          </w:p>
        </w:tc>
      </w:tr>
      <w:tr w:rsidR="00B47B7D" w:rsidRPr="000B6B22" w14:paraId="30EC1A17" w14:textId="77777777" w:rsidTr="002B73CC">
        <w:tc>
          <w:tcPr>
            <w:tcW w:w="1097" w:type="dxa"/>
            <w:shd w:val="clear" w:color="auto" w:fill="FFFFFF"/>
            <w:vAlign w:val="center"/>
          </w:tcPr>
          <w:p w14:paraId="686B2373" w14:textId="6E52E25A" w:rsidR="006E48EA" w:rsidRPr="000B6B22" w:rsidRDefault="00500145">
            <w:pPr>
              <w:spacing w:before="0"/>
              <w:rPr>
                <w:rFonts w:ascii="Times New Roman" w:hAnsi="Times New Roman"/>
                <w:sz w:val="24"/>
              </w:rPr>
            </w:pPr>
            <w:r>
              <w:rPr>
                <w:rFonts w:ascii="Times New Roman" w:hAnsi="Times New Roman"/>
                <w:sz w:val="24"/>
              </w:rPr>
              <w:t>0340</w:t>
            </w:r>
          </w:p>
        </w:tc>
        <w:tc>
          <w:tcPr>
            <w:tcW w:w="7125" w:type="dxa"/>
            <w:gridSpan w:val="2"/>
            <w:shd w:val="clear" w:color="auto" w:fill="FFFFFF"/>
          </w:tcPr>
          <w:p w14:paraId="713BDBAD" w14:textId="77777777" w:rsidR="006E48EA" w:rsidRPr="000B6B22" w:rsidRDefault="006E48EA">
            <w:pPr>
              <w:spacing w:before="0"/>
              <w:ind w:left="33"/>
              <w:rPr>
                <w:rFonts w:ascii="Times New Roman" w:hAnsi="Times New Roman"/>
                <w:b/>
                <w:sz w:val="24"/>
              </w:rPr>
            </w:pPr>
            <w:r>
              <w:rPr>
                <w:rFonts w:ascii="Times New Roman" w:hAnsi="Times New Roman"/>
                <w:b/>
                <w:sz w:val="24"/>
              </w:rPr>
              <w:t>1.2.2.3. Υψηλής ποιότητας καλυμμένα ομόλογα (ΣΣΚ 35 %)</w:t>
            </w:r>
          </w:p>
          <w:p w14:paraId="695B8350" w14:textId="0F4735B5" w:rsidR="006E48EA" w:rsidRPr="000B6B22" w:rsidRDefault="00762F31">
            <w:pPr>
              <w:spacing w:before="0"/>
              <w:ind w:left="33"/>
              <w:rPr>
                <w:rFonts w:ascii="Times New Roman" w:hAnsi="Times New Roman"/>
                <w:sz w:val="24"/>
              </w:rPr>
            </w:pPr>
            <w:r>
              <w:rPr>
                <w:rFonts w:ascii="Times New Roman" w:hAnsi="Times New Roman"/>
                <w:sz w:val="24"/>
              </w:rPr>
              <w:t>Άρθρο 12 παράγραφος 1 στοιχείο ε) του κατ’ εξουσιοδότηση κανονισμού (ΕΕ) 2015/61</w:t>
            </w:r>
          </w:p>
          <w:p w14:paraId="28F743AD" w14:textId="39E41641" w:rsidR="006E48EA" w:rsidRPr="000B6B22" w:rsidRDefault="006E48EA">
            <w:pPr>
              <w:spacing w:before="0"/>
              <w:ind w:left="33"/>
              <w:rPr>
                <w:rFonts w:ascii="Times New Roman" w:hAnsi="Times New Roman"/>
                <w:b/>
                <w:sz w:val="24"/>
              </w:rPr>
            </w:pPr>
            <w:r>
              <w:rPr>
                <w:rFonts w:ascii="Times New Roman" w:hAnsi="Times New Roman"/>
                <w:sz w:val="24"/>
              </w:rPr>
              <w:t>Στοιχεία ενεργητικού που αντιστοιχούν σε ανοίγματα με τη μορφή υψηλής ποιότητας καλυμμένων ομολόγων τα οποία έχουν εκδοθεί από πιστωτικά ιδρύματα τα οποία συμμορφώνονται με το άρθρο 12 παράγραφος 1 στοιχείο ε) του κατ’ εξουσιοδότηση κανονισμού (ΕΕ) 2015/61, υπό τον όρο ότι η ομάδα των υποκείμενων στοιχείων ενεργητικού αποτελείται αποκλειστικά από ανοίγματα που είναι επιλέξιμα για συντελεστή στάθμισης κινδύνου 35 % ή χαμηλότερο σύμφωνα με το άρθρο 125 του κανονισμού (ΕΕ) αριθ. 575/2013.</w:t>
            </w:r>
          </w:p>
        </w:tc>
      </w:tr>
      <w:tr w:rsidR="00B47B7D" w:rsidRPr="000B6B22" w14:paraId="4B61F417" w14:textId="77777777" w:rsidTr="002B73CC">
        <w:tc>
          <w:tcPr>
            <w:tcW w:w="1097" w:type="dxa"/>
            <w:shd w:val="clear" w:color="auto" w:fill="FFFFFF"/>
            <w:vAlign w:val="center"/>
          </w:tcPr>
          <w:p w14:paraId="6CB1C0D1" w14:textId="2263DCE3" w:rsidR="006E48EA" w:rsidRPr="000B6B22" w:rsidRDefault="00500145">
            <w:pPr>
              <w:spacing w:before="0"/>
              <w:rPr>
                <w:rFonts w:ascii="Times New Roman" w:hAnsi="Times New Roman"/>
                <w:sz w:val="24"/>
              </w:rPr>
            </w:pPr>
            <w:r>
              <w:rPr>
                <w:rFonts w:ascii="Times New Roman" w:hAnsi="Times New Roman"/>
                <w:sz w:val="24"/>
              </w:rPr>
              <w:t>0350</w:t>
            </w:r>
          </w:p>
        </w:tc>
        <w:tc>
          <w:tcPr>
            <w:tcW w:w="7125" w:type="dxa"/>
            <w:gridSpan w:val="2"/>
            <w:shd w:val="clear" w:color="auto" w:fill="FFFFFF"/>
          </w:tcPr>
          <w:p w14:paraId="5BBC4661" w14:textId="7E36899C" w:rsidR="006E48EA" w:rsidRPr="000B6B22" w:rsidRDefault="006E48EA">
            <w:pPr>
              <w:spacing w:before="0"/>
              <w:ind w:left="33"/>
              <w:rPr>
                <w:rFonts w:ascii="Times New Roman" w:hAnsi="Times New Roman"/>
                <w:b/>
                <w:sz w:val="24"/>
              </w:rPr>
            </w:pPr>
            <w:r>
              <w:rPr>
                <w:rFonts w:ascii="Times New Roman" w:hAnsi="Times New Roman"/>
                <w:b/>
                <w:sz w:val="24"/>
              </w:rPr>
              <w:t>1.2.2.4. Τίτλοι από τιτλοποίηση (εμπορικά δάνεια ή δάνεια σε ιδιώτες, κράτος μέλος, ΒΠΠ1)</w:t>
            </w:r>
          </w:p>
          <w:p w14:paraId="467D6F32" w14:textId="0D4A2940" w:rsidR="006E48EA" w:rsidRPr="000B6B22" w:rsidRDefault="00762F31">
            <w:pPr>
              <w:spacing w:before="0"/>
              <w:ind w:left="33"/>
              <w:rPr>
                <w:rFonts w:ascii="Times New Roman" w:hAnsi="Times New Roman"/>
                <w:sz w:val="24"/>
              </w:rPr>
            </w:pPr>
            <w:r>
              <w:rPr>
                <w:rFonts w:ascii="Times New Roman" w:hAnsi="Times New Roman"/>
                <w:sz w:val="24"/>
              </w:rPr>
              <w:t>Άρθρο 12 παράγραφος 1 στοιχείο α) και άρθρο 13 παράγραφος 2 στοιχείο ζ) σημεία iii) και v) του κατ’ εξουσιοδότηση κανονισμού (ΕΕ) 2015/61</w:t>
            </w:r>
          </w:p>
          <w:p w14:paraId="3974A81B" w14:textId="711D2E39" w:rsidR="006E48EA" w:rsidRPr="000B6B22" w:rsidRDefault="006E48EA">
            <w:pPr>
              <w:spacing w:before="0"/>
              <w:ind w:left="33"/>
              <w:rPr>
                <w:rFonts w:ascii="Times New Roman" w:hAnsi="Times New Roman"/>
                <w:b/>
                <w:sz w:val="24"/>
              </w:rPr>
            </w:pPr>
            <w:r>
              <w:rPr>
                <w:rFonts w:ascii="Times New Roman" w:hAnsi="Times New Roman"/>
                <w:sz w:val="24"/>
              </w:rPr>
              <w:t xml:space="preserve">Ανοίγματα υπό τη μορφή τίτλων προερχόμενων από τιτλοποίηση οι οποίοι πληρούν τις απαιτήσεις που ορίζονται στο άρθρο 13 του κατ’ εξουσιοδότηση κανονισμού (ΕΕ) 2015/61, εφόσον συνοδεύονται από στοιχεία ενεργητικού που αναφέρονται στο άρθρο 13 παράγραφος 2 στοιχείο ζ) σημεία iii) και v) του κατ’ εξουσιοδότηση κανονισμού (ΕΕ) 2015/61. Για τους σκοπούς του άρθρου 13 παράγραφος 2 στοιχείο ζ) </w:t>
            </w:r>
            <w:r>
              <w:rPr>
                <w:rFonts w:ascii="Times New Roman" w:hAnsi="Times New Roman"/>
                <w:sz w:val="24"/>
              </w:rPr>
              <w:lastRenderedPageBreak/>
              <w:t>σημείο iii), τουλάχιστον το 80 % των δανειοληπτών στην ομάδα είναι μικρές και μεσαίες επιχειρήσεις κατά τον χρόνο έκδοσης της τιτλοποίησης.</w:t>
            </w:r>
          </w:p>
        </w:tc>
      </w:tr>
      <w:tr w:rsidR="00B47B7D" w:rsidRPr="000B6B22" w14:paraId="5F107C6F" w14:textId="77777777" w:rsidTr="002B73CC">
        <w:tc>
          <w:tcPr>
            <w:tcW w:w="1097" w:type="dxa"/>
            <w:shd w:val="clear" w:color="auto" w:fill="FFFFFF"/>
            <w:vAlign w:val="center"/>
          </w:tcPr>
          <w:p w14:paraId="07DDFFDC" w14:textId="1121D732" w:rsidR="006E48EA" w:rsidRPr="000B6B22" w:rsidRDefault="00500145">
            <w:pPr>
              <w:spacing w:before="0"/>
              <w:rPr>
                <w:rFonts w:ascii="Times New Roman" w:hAnsi="Times New Roman"/>
                <w:sz w:val="24"/>
              </w:rPr>
            </w:pPr>
            <w:r>
              <w:rPr>
                <w:rFonts w:ascii="Times New Roman" w:hAnsi="Times New Roman"/>
                <w:sz w:val="24"/>
              </w:rPr>
              <w:lastRenderedPageBreak/>
              <w:t>0360</w:t>
            </w:r>
          </w:p>
        </w:tc>
        <w:tc>
          <w:tcPr>
            <w:tcW w:w="7125" w:type="dxa"/>
            <w:gridSpan w:val="2"/>
            <w:shd w:val="clear" w:color="auto" w:fill="FFFFFF"/>
          </w:tcPr>
          <w:p w14:paraId="6AAD44CE" w14:textId="77777777" w:rsidR="006E48EA" w:rsidRPr="000B6B22" w:rsidRDefault="006E48EA">
            <w:pPr>
              <w:spacing w:before="0"/>
              <w:ind w:left="33"/>
              <w:rPr>
                <w:rFonts w:ascii="Times New Roman" w:hAnsi="Times New Roman"/>
                <w:b/>
                <w:sz w:val="24"/>
              </w:rPr>
            </w:pPr>
            <w:r>
              <w:rPr>
                <w:rFonts w:ascii="Times New Roman" w:hAnsi="Times New Roman"/>
                <w:b/>
                <w:sz w:val="24"/>
              </w:rPr>
              <w:t>1.2.2.5. Εταιρικοί χρεωστικοί τίτλοι (ΒΠΠ2/3)</w:t>
            </w:r>
          </w:p>
          <w:p w14:paraId="10B959A4" w14:textId="078346D5" w:rsidR="006E48EA" w:rsidRPr="000B6B22" w:rsidRDefault="00762F31">
            <w:pPr>
              <w:spacing w:before="0"/>
              <w:ind w:left="33"/>
              <w:rPr>
                <w:rFonts w:ascii="Times New Roman" w:hAnsi="Times New Roman"/>
                <w:sz w:val="24"/>
              </w:rPr>
            </w:pPr>
            <w:r>
              <w:rPr>
                <w:rFonts w:ascii="Times New Roman" w:hAnsi="Times New Roman"/>
                <w:sz w:val="24"/>
              </w:rPr>
              <w:t>Άρθρο 12 παράγραφος 1 στοιχείο β) του κατ’ εξουσιοδότηση κανονισμού (ΕΕ) 2015/61</w:t>
            </w:r>
          </w:p>
          <w:p w14:paraId="6192FD68" w14:textId="52411240" w:rsidR="006E48EA" w:rsidRPr="000B6B22" w:rsidRDefault="006E48EA">
            <w:pPr>
              <w:spacing w:before="0"/>
              <w:ind w:left="33"/>
              <w:rPr>
                <w:rFonts w:ascii="Times New Roman" w:hAnsi="Times New Roman"/>
                <w:b/>
                <w:sz w:val="24"/>
              </w:rPr>
            </w:pPr>
            <w:r>
              <w:rPr>
                <w:rFonts w:ascii="Times New Roman" w:hAnsi="Times New Roman"/>
                <w:sz w:val="24"/>
              </w:rPr>
              <w:t>Εταιρικοί χρεωστικοί τίτλοι που είναι σύμφωνοι με το άρθρο 12 παράγραφος 1 στοιχείο β) του κατ’ εξουσιοδότηση κανονισμού (ΕΕ) 2015/61</w:t>
            </w:r>
          </w:p>
        </w:tc>
      </w:tr>
      <w:tr w:rsidR="00B47B7D" w:rsidRPr="000B6B22" w14:paraId="57BEC1FC" w14:textId="77777777" w:rsidTr="002B73CC">
        <w:tc>
          <w:tcPr>
            <w:tcW w:w="1097" w:type="dxa"/>
            <w:shd w:val="clear" w:color="auto" w:fill="FFFFFF"/>
            <w:vAlign w:val="center"/>
          </w:tcPr>
          <w:p w14:paraId="16829F9E" w14:textId="1735D958" w:rsidR="006E48EA" w:rsidRPr="000B6B22" w:rsidRDefault="00500145">
            <w:pPr>
              <w:spacing w:before="0"/>
              <w:rPr>
                <w:rFonts w:ascii="Times New Roman" w:hAnsi="Times New Roman"/>
                <w:sz w:val="24"/>
              </w:rPr>
            </w:pPr>
            <w:r>
              <w:rPr>
                <w:rFonts w:ascii="Times New Roman" w:hAnsi="Times New Roman"/>
                <w:sz w:val="24"/>
              </w:rPr>
              <w:t>0370</w:t>
            </w:r>
          </w:p>
        </w:tc>
        <w:tc>
          <w:tcPr>
            <w:tcW w:w="7125" w:type="dxa"/>
            <w:gridSpan w:val="2"/>
            <w:shd w:val="clear" w:color="auto" w:fill="FFFFFF"/>
          </w:tcPr>
          <w:p w14:paraId="1E45EFA1" w14:textId="2565F5EC" w:rsidR="006E48EA" w:rsidRPr="000B6B22" w:rsidRDefault="006E48EA">
            <w:pPr>
              <w:spacing w:before="0"/>
              <w:ind w:left="33"/>
              <w:rPr>
                <w:rFonts w:ascii="Times New Roman" w:hAnsi="Times New Roman"/>
                <w:b/>
                <w:sz w:val="24"/>
              </w:rPr>
            </w:pPr>
            <w:r>
              <w:rPr>
                <w:rFonts w:ascii="Times New Roman" w:hAnsi="Times New Roman"/>
                <w:b/>
                <w:sz w:val="24"/>
              </w:rPr>
              <w:t>1.2.2.6. Εταιρικοί χρεωστικοί τίτλοι - μη τοκοφόρα στοιχεία ενεργητικού (που διατηρούνται από πιστωτικά ιδρύματα για θρησκευτικούς λόγους) (ΒΠΠ1/2/3)</w:t>
            </w:r>
          </w:p>
          <w:p w14:paraId="2A95B17C" w14:textId="53981BF3" w:rsidR="006E48EA" w:rsidRPr="000B6B22" w:rsidRDefault="006E48EA">
            <w:pPr>
              <w:spacing w:before="0"/>
              <w:ind w:left="33"/>
              <w:rPr>
                <w:rFonts w:ascii="Times New Roman" w:hAnsi="Times New Roman"/>
                <w:bCs/>
                <w:sz w:val="24"/>
              </w:rPr>
            </w:pPr>
            <w:r>
              <w:rPr>
                <w:rFonts w:ascii="Times New Roman" w:hAnsi="Times New Roman"/>
                <w:sz w:val="24"/>
              </w:rPr>
              <w:t>Άρθρο 12 παράγραφος 3 του κατ’ εξουσιοδότηση κανονισμού (ΕΕ) 2015/61</w:t>
            </w:r>
          </w:p>
          <w:p w14:paraId="1F6564B2" w14:textId="0D75227B" w:rsidR="006E48EA" w:rsidRPr="000B6B22" w:rsidRDefault="00223992">
            <w:pPr>
              <w:spacing w:before="0"/>
              <w:ind w:left="33"/>
              <w:rPr>
                <w:rFonts w:ascii="Times New Roman" w:hAnsi="Times New Roman"/>
                <w:bCs/>
                <w:sz w:val="24"/>
              </w:rPr>
            </w:pPr>
            <w:r>
              <w:rPr>
                <w:rFonts w:ascii="Times New Roman" w:hAnsi="Times New Roman"/>
                <w:sz w:val="24"/>
              </w:rPr>
              <w:t>Για τα πιστωτικά ιδρύματα τα οποία σύμφωνα με το καταστατικό τους δεν δύνανται για λόγους θρησκείας να κατέχουν τοκοφόρα στοιχεία ενεργητικού, μια αρμόδια αρχή δύναται να επιτρέψει παρέκκλιση από το άρθρο 12 παράγραφος 1 στοιχείο β) σημεία ii) και iii) του κατ’ εξουσιοδότηση κανονισμού (ΕΕ) 2015/61, εφόσον υπάρχει απόδειξη ανεπαρκούς διαθεσιμότητας μη τοκοφόρων στοιχείων ενεργητικού που να πληρούν τις απαιτήσεις αυτές και τα εν λόγω μη τοκοφόρα στοιχεία ενεργητικού παρουσιάζουν επαρκή ρευστότητα στις ιδιωτικές αγορές.</w:t>
            </w:r>
          </w:p>
          <w:p w14:paraId="6F34CD8E" w14:textId="61B87D0F" w:rsidR="006E48EA" w:rsidRPr="000B6B22" w:rsidRDefault="006E48EA">
            <w:pPr>
              <w:spacing w:before="0"/>
              <w:ind w:left="33"/>
              <w:rPr>
                <w:rFonts w:ascii="Times New Roman" w:hAnsi="Times New Roman"/>
                <w:b/>
                <w:sz w:val="24"/>
              </w:rPr>
            </w:pPr>
            <w:r>
              <w:rPr>
                <w:rFonts w:ascii="Times New Roman" w:hAnsi="Times New Roman"/>
                <w:sz w:val="24"/>
              </w:rPr>
              <w:t>Τα εν λόγω πιστωτικά ιδρύματα αναφέρουν τους εταιρικούς χρεωστικούς τίτλους που περιέχουν μη τοκοφόρα στοιχεία ενεργητικού, εφόσον πληρούν τις απαιτήσεις του άρθρου 12 παράγραφος 1 στοιχείο β) σημείο i) του κατ’ εξουσιοδότηση κανονισμού (ΕΕ) 2015/61 και έχουν λάβει τη δέουσα εξαίρεση από την αρμόδια αρχή.</w:t>
            </w:r>
          </w:p>
        </w:tc>
      </w:tr>
      <w:tr w:rsidR="00B47B7D" w:rsidRPr="000B6B22" w14:paraId="5FE17843" w14:textId="77777777" w:rsidTr="002B73CC">
        <w:tc>
          <w:tcPr>
            <w:tcW w:w="1097" w:type="dxa"/>
            <w:shd w:val="clear" w:color="auto" w:fill="FFFFFF"/>
            <w:vAlign w:val="center"/>
          </w:tcPr>
          <w:p w14:paraId="4C24D50F" w14:textId="1CDEB454" w:rsidR="006E48EA" w:rsidRPr="000B6B22" w:rsidRDefault="00500145">
            <w:pPr>
              <w:spacing w:before="0"/>
              <w:rPr>
                <w:rFonts w:ascii="Times New Roman" w:hAnsi="Times New Roman"/>
                <w:sz w:val="24"/>
              </w:rPr>
            </w:pPr>
            <w:r>
              <w:rPr>
                <w:rFonts w:ascii="Times New Roman" w:hAnsi="Times New Roman"/>
                <w:sz w:val="24"/>
              </w:rPr>
              <w:t>0380</w:t>
            </w:r>
          </w:p>
        </w:tc>
        <w:tc>
          <w:tcPr>
            <w:tcW w:w="7125" w:type="dxa"/>
            <w:gridSpan w:val="2"/>
            <w:shd w:val="clear" w:color="auto" w:fill="FFFFFF"/>
          </w:tcPr>
          <w:p w14:paraId="3C0E8B99" w14:textId="77777777" w:rsidR="006E48EA" w:rsidRPr="000B6B22" w:rsidRDefault="006E48EA">
            <w:pPr>
              <w:spacing w:before="0"/>
              <w:ind w:left="33"/>
              <w:rPr>
                <w:rFonts w:ascii="Times New Roman" w:hAnsi="Times New Roman"/>
                <w:b/>
                <w:sz w:val="24"/>
              </w:rPr>
            </w:pPr>
            <w:r>
              <w:rPr>
                <w:rFonts w:ascii="Times New Roman" w:hAnsi="Times New Roman"/>
                <w:b/>
                <w:sz w:val="24"/>
              </w:rPr>
              <w:t>1.2.2.7. Μετοχές (μείζων χρηματιστηριακός δείκτης)</w:t>
            </w:r>
          </w:p>
          <w:p w14:paraId="5E3ABFB8" w14:textId="2AE2D6B6" w:rsidR="006E48EA" w:rsidRPr="000B6B22" w:rsidRDefault="00762F31">
            <w:pPr>
              <w:spacing w:before="0"/>
              <w:ind w:left="33"/>
              <w:rPr>
                <w:rFonts w:ascii="Times New Roman" w:hAnsi="Times New Roman"/>
                <w:bCs/>
                <w:sz w:val="24"/>
              </w:rPr>
            </w:pPr>
            <w:r>
              <w:rPr>
                <w:rFonts w:ascii="Times New Roman" w:hAnsi="Times New Roman"/>
                <w:sz w:val="24"/>
              </w:rPr>
              <w:t>Άρθρο 12 παράγραφος 1 στοιχείο γ) του κατ’ εξουσιοδότηση κανονισμού (ΕΕ) 2015/61</w:t>
            </w:r>
          </w:p>
          <w:p w14:paraId="5523E2E6" w14:textId="7DA28103" w:rsidR="006E48EA" w:rsidRPr="000B6B22" w:rsidRDefault="006E48EA">
            <w:pPr>
              <w:spacing w:before="0"/>
              <w:ind w:left="33"/>
              <w:rPr>
                <w:rFonts w:ascii="Times New Roman" w:hAnsi="Times New Roman"/>
                <w:bCs/>
                <w:sz w:val="24"/>
              </w:rPr>
            </w:pPr>
            <w:r>
              <w:rPr>
                <w:rFonts w:ascii="Times New Roman" w:hAnsi="Times New Roman"/>
                <w:sz w:val="24"/>
              </w:rPr>
              <w:t>Μετοχές που είναι σύμφωνες με το άρθρο 12 παράγραφος 1 στοιχείο γ) του κατ’ εξουσιοδότηση κανονισμού (ΕΕ) 2015/61 και είναι εκφρασμένες στο νόμισμα του κράτους μέλους του πιστωτικού ιδρύματος.</w:t>
            </w:r>
          </w:p>
          <w:p w14:paraId="790214B6" w14:textId="5E3C44C0" w:rsidR="006E48EA" w:rsidRPr="000B6B22" w:rsidRDefault="006E48EA">
            <w:pPr>
              <w:spacing w:before="0"/>
              <w:ind w:left="33"/>
              <w:rPr>
                <w:rFonts w:ascii="Times New Roman" w:hAnsi="Times New Roman"/>
                <w:b/>
                <w:sz w:val="24"/>
              </w:rPr>
            </w:pPr>
            <w:r>
              <w:rPr>
                <w:rFonts w:ascii="Times New Roman" w:hAnsi="Times New Roman"/>
                <w:sz w:val="24"/>
              </w:rPr>
              <w:t>Τα πιστωτικά ιδρύματα αναφέρουν επίσης τις μετοχές που είναι σύμφωνες με το άρθρο 12 παράγραφος 1 στοιχείο γ) και είναι εκφρασμένες σε διαφορετικό νόμισμα, υπό την προϋπόθεση ότι προσμετρώνται ως στοιχεία ενεργητικού επιπέδου 2B μόνο έως το ποσό που απαιτείται για την κάλυψη των εκροών ρευστότητας στο εν λόγω νόμισμα ή στην περιοχή δικαιοδοσίας όπου αναλαμβάνεται ο κίνδυνος ρευστότητας.</w:t>
            </w:r>
          </w:p>
        </w:tc>
      </w:tr>
      <w:tr w:rsidR="00B47B7D" w:rsidRPr="000B6B22" w14:paraId="32CAB64E" w14:textId="77777777" w:rsidTr="002B73CC">
        <w:tc>
          <w:tcPr>
            <w:tcW w:w="1097" w:type="dxa"/>
            <w:shd w:val="clear" w:color="auto" w:fill="FFFFFF"/>
            <w:vAlign w:val="center"/>
          </w:tcPr>
          <w:p w14:paraId="67CF7CC7" w14:textId="22EDC438" w:rsidR="006E48EA" w:rsidRPr="000B6B22" w:rsidRDefault="00500145">
            <w:pPr>
              <w:spacing w:before="0"/>
              <w:rPr>
                <w:rFonts w:ascii="Times New Roman" w:hAnsi="Times New Roman"/>
                <w:sz w:val="24"/>
              </w:rPr>
            </w:pPr>
            <w:r>
              <w:rPr>
                <w:rFonts w:ascii="Times New Roman" w:hAnsi="Times New Roman"/>
                <w:sz w:val="24"/>
              </w:rPr>
              <w:t>0390</w:t>
            </w:r>
          </w:p>
        </w:tc>
        <w:tc>
          <w:tcPr>
            <w:tcW w:w="7125" w:type="dxa"/>
            <w:gridSpan w:val="2"/>
            <w:shd w:val="clear" w:color="auto" w:fill="FFFFFF"/>
          </w:tcPr>
          <w:p w14:paraId="04F0521F" w14:textId="492672E9" w:rsidR="006E48EA" w:rsidRPr="000B6B22" w:rsidRDefault="006E48EA">
            <w:pPr>
              <w:spacing w:before="0"/>
              <w:ind w:left="33"/>
              <w:rPr>
                <w:rFonts w:ascii="Times New Roman" w:hAnsi="Times New Roman"/>
                <w:b/>
                <w:sz w:val="24"/>
              </w:rPr>
            </w:pPr>
            <w:r>
              <w:rPr>
                <w:rFonts w:ascii="Times New Roman" w:hAnsi="Times New Roman"/>
                <w:b/>
                <w:sz w:val="24"/>
              </w:rPr>
              <w:t>1.2.2.8. Μη τοκοφόρα στοιχεία ενεργητικού (που διατηρούνται από πιστωτικά ιδρύματα για θρησκευτικούς λόγους) (ΒΠΠ3-5)</w:t>
            </w:r>
          </w:p>
          <w:p w14:paraId="128B1A20" w14:textId="59DC1D37" w:rsidR="006E48EA" w:rsidRPr="000B6B22" w:rsidRDefault="00DD4C72">
            <w:pPr>
              <w:spacing w:before="0"/>
              <w:ind w:left="33"/>
              <w:rPr>
                <w:rFonts w:ascii="Times New Roman" w:hAnsi="Times New Roman"/>
                <w:bCs/>
                <w:sz w:val="24"/>
              </w:rPr>
            </w:pPr>
            <w:r>
              <w:rPr>
                <w:rFonts w:ascii="Times New Roman" w:hAnsi="Times New Roman"/>
                <w:sz w:val="24"/>
              </w:rPr>
              <w:lastRenderedPageBreak/>
              <w:t>Άρθρο 12 παράγραφος 1 στοιχείο στ) του κατ’ εξουσιοδότηση κανονισμού (ΕΕ) 2015/61</w:t>
            </w:r>
          </w:p>
          <w:p w14:paraId="68878A1F" w14:textId="63132378" w:rsidR="006E48EA" w:rsidRPr="000B6B22" w:rsidRDefault="006E48EA">
            <w:pPr>
              <w:spacing w:before="0"/>
              <w:ind w:left="33"/>
              <w:rPr>
                <w:rFonts w:ascii="Times New Roman" w:hAnsi="Times New Roman"/>
                <w:b/>
                <w:sz w:val="24"/>
              </w:rPr>
            </w:pPr>
            <w:r>
              <w:rPr>
                <w:rFonts w:ascii="Times New Roman" w:hAnsi="Times New Roman"/>
                <w:sz w:val="24"/>
              </w:rPr>
              <w:t>Για τα πιστωτικά ιδρύματα τα οποία σύμφωνα με το καταστατικό τους δεν δύνανται για λόγους θρησκείας να κατέχουν τοκοφόρα στοιχεία ενεργητικού, μη τοκοφόρα στοιχεία ενεργητικού που αντιστοιχούν σε απαίτηση έναντι ή είναι εγγυημένα από κεντρικές τράπεζες ή από την κεντρική κυβέρνηση ή την κεντρική τράπεζα τρίτης χώρας ή από περιφερειακή κυβέρνηση, τοπική αρχή ή οντότητα του δημόσιου τομέα σε τρίτη χώρα, εφόσον τα εν λόγω στοιχεία ενεργητικού έχουν πιστοληπτική αξιολόγηση από εντεταλμένο ΕΟΠΑ με βαθμίδα πιστωτικής ποιότητας τουλάχιστον 5, σύμφωνα με το άρθρο 114 του κανονισμού (ΕΕ) αριθ. 575/2013, ή ισοδύναμη βαθμίδα πιστωτικής ποιότητας σε περίπτωση βραχυπρόθεσμης πιστοληπτικής αξιολόγησης.</w:t>
            </w:r>
          </w:p>
        </w:tc>
      </w:tr>
      <w:tr w:rsidR="00B47B7D" w:rsidRPr="000B6B22" w14:paraId="74C4E5ED" w14:textId="77777777" w:rsidTr="002B73CC">
        <w:tc>
          <w:tcPr>
            <w:tcW w:w="1097" w:type="dxa"/>
            <w:shd w:val="clear" w:color="auto" w:fill="FFFFFF"/>
            <w:vAlign w:val="center"/>
          </w:tcPr>
          <w:p w14:paraId="25C0AF85" w14:textId="48CDCA9E" w:rsidR="006E48EA" w:rsidRPr="000B6B22" w:rsidRDefault="00500145">
            <w:pPr>
              <w:spacing w:before="0"/>
              <w:rPr>
                <w:rFonts w:ascii="Times New Roman" w:hAnsi="Times New Roman"/>
                <w:sz w:val="24"/>
              </w:rPr>
            </w:pPr>
            <w:r>
              <w:rPr>
                <w:rFonts w:ascii="Times New Roman" w:hAnsi="Times New Roman"/>
                <w:sz w:val="24"/>
              </w:rPr>
              <w:lastRenderedPageBreak/>
              <w:t>0400</w:t>
            </w:r>
          </w:p>
        </w:tc>
        <w:tc>
          <w:tcPr>
            <w:tcW w:w="7125" w:type="dxa"/>
            <w:gridSpan w:val="2"/>
            <w:shd w:val="clear" w:color="auto" w:fill="FFFFFF"/>
          </w:tcPr>
          <w:p w14:paraId="6C1A4B58" w14:textId="77777777" w:rsidR="006E48EA" w:rsidRPr="000B6B22" w:rsidRDefault="006E48EA">
            <w:pPr>
              <w:spacing w:before="0"/>
              <w:ind w:left="33"/>
              <w:rPr>
                <w:rFonts w:ascii="Times New Roman" w:hAnsi="Times New Roman"/>
                <w:b/>
                <w:sz w:val="24"/>
              </w:rPr>
            </w:pPr>
            <w:r>
              <w:rPr>
                <w:rFonts w:ascii="Times New Roman" w:hAnsi="Times New Roman"/>
                <w:b/>
                <w:sz w:val="24"/>
              </w:rPr>
              <w:t>1.2.2.9. Περιορισμένης χρήσης δεσμευμένες ταμειακές διευκολύνσεις από κεντρική τράπεζα</w:t>
            </w:r>
          </w:p>
          <w:p w14:paraId="53FD0878" w14:textId="70448FBA" w:rsidR="006E48EA" w:rsidRPr="000B6B22" w:rsidRDefault="00762F31">
            <w:pPr>
              <w:spacing w:before="0"/>
              <w:ind w:left="33"/>
              <w:rPr>
                <w:rFonts w:ascii="Times New Roman" w:hAnsi="Times New Roman"/>
                <w:sz w:val="24"/>
              </w:rPr>
            </w:pPr>
            <w:r>
              <w:rPr>
                <w:rFonts w:ascii="Times New Roman" w:hAnsi="Times New Roman"/>
                <w:sz w:val="24"/>
              </w:rPr>
              <w:t>Άρθρο 12 παράγραφος 1 στοιχείο δ) και άρθρο 14 του κατ’ εξουσιοδότηση κανονισμού (ΕΕ) 2015/61</w:t>
            </w:r>
          </w:p>
          <w:p w14:paraId="40E6E3FB" w14:textId="114ACA4F" w:rsidR="006E48EA" w:rsidRPr="000B6B22" w:rsidRDefault="006E48EA">
            <w:pPr>
              <w:spacing w:before="0"/>
              <w:ind w:left="33"/>
              <w:rPr>
                <w:rFonts w:ascii="Times New Roman" w:hAnsi="Times New Roman"/>
                <w:b/>
                <w:sz w:val="24"/>
              </w:rPr>
            </w:pPr>
            <w:r>
              <w:rPr>
                <w:rFonts w:ascii="Times New Roman" w:hAnsi="Times New Roman"/>
                <w:sz w:val="24"/>
              </w:rPr>
              <w:t>Μη αναληφθέν ποσό περιορισμένης χρήσης δεσμευμένων διευκολύνσεων ρευστότητας που παρέχονται από κεντρικές τράπεζες οι οποίες είναι σύμφωνες με το άρθρο 14 του κατ’ εξουσιοδότηση κανονισμού (ΕΕ) 2015/61.</w:t>
            </w:r>
          </w:p>
        </w:tc>
      </w:tr>
      <w:tr w:rsidR="00B47B7D" w:rsidRPr="000B6B22" w14:paraId="2FC81458" w14:textId="77777777" w:rsidTr="002B73CC">
        <w:tc>
          <w:tcPr>
            <w:tcW w:w="1097" w:type="dxa"/>
            <w:shd w:val="clear" w:color="auto" w:fill="FFFFFF"/>
            <w:vAlign w:val="center"/>
          </w:tcPr>
          <w:p w14:paraId="40B5BBD2" w14:textId="5B77D12D" w:rsidR="006E48EA" w:rsidRPr="000B6B22" w:rsidRDefault="00500145">
            <w:pPr>
              <w:spacing w:before="0"/>
              <w:rPr>
                <w:rFonts w:ascii="Times New Roman" w:hAnsi="Times New Roman"/>
                <w:sz w:val="24"/>
              </w:rPr>
            </w:pPr>
            <w:r>
              <w:rPr>
                <w:rFonts w:ascii="Times New Roman" w:hAnsi="Times New Roman"/>
                <w:sz w:val="24"/>
              </w:rPr>
              <w:t>0410</w:t>
            </w:r>
          </w:p>
        </w:tc>
        <w:tc>
          <w:tcPr>
            <w:tcW w:w="7125" w:type="dxa"/>
            <w:gridSpan w:val="2"/>
            <w:shd w:val="clear" w:color="auto" w:fill="FFFFFF"/>
          </w:tcPr>
          <w:p w14:paraId="0AC07B90" w14:textId="7D3FF65D" w:rsidR="006E48EA" w:rsidRPr="000B6B22" w:rsidRDefault="006E48EA">
            <w:pPr>
              <w:spacing w:before="0"/>
              <w:ind w:left="33"/>
              <w:rPr>
                <w:rFonts w:ascii="Times New Roman" w:hAnsi="Times New Roman"/>
                <w:b/>
                <w:sz w:val="24"/>
              </w:rPr>
            </w:pPr>
            <w:r>
              <w:rPr>
                <w:rFonts w:ascii="Times New Roman" w:hAnsi="Times New Roman"/>
                <w:b/>
                <w:sz w:val="24"/>
              </w:rPr>
              <w:t>1.2.2.10. Αποδεκτές μετοχές/μερίδια σε ΟΣΕ: τα υποκείμενα στοιχεία είναι τίτλοι προερχόμενοι από τιτλοποίηση (στεγαστικά δάνεια ή δάνεια αγοράς αυτοκινήτου, ΒΠΠ 1)</w:t>
            </w:r>
          </w:p>
          <w:p w14:paraId="60011F11" w14:textId="19DB3A6F" w:rsidR="006E48EA" w:rsidRPr="000B6B22" w:rsidRDefault="00DD4C72">
            <w:pPr>
              <w:spacing w:before="0"/>
              <w:ind w:left="33"/>
              <w:rPr>
                <w:rFonts w:ascii="Times New Roman" w:hAnsi="Times New Roman"/>
                <w:sz w:val="24"/>
              </w:rPr>
            </w:pPr>
            <w:r>
              <w:rPr>
                <w:rFonts w:ascii="Times New Roman" w:hAnsi="Times New Roman"/>
                <w:sz w:val="24"/>
              </w:rPr>
              <w:t>Άρθρο 15 παράγραφος 2 στοιχείο ε) του κατ’ εξουσιοδότηση κανονισμού (ΕΕ) 2015/61</w:t>
            </w:r>
          </w:p>
          <w:p w14:paraId="12BB2005" w14:textId="0A5D767D" w:rsidR="006E48EA" w:rsidRPr="000B6B22" w:rsidRDefault="006E48EA">
            <w:pPr>
              <w:spacing w:before="0"/>
              <w:ind w:left="33"/>
              <w:rPr>
                <w:rFonts w:ascii="Times New Roman" w:hAnsi="Times New Roman"/>
                <w:b/>
                <w:sz w:val="24"/>
              </w:rPr>
            </w:pPr>
            <w:r>
              <w:rPr>
                <w:rFonts w:ascii="Times New Roman" w:hAnsi="Times New Roman"/>
                <w:sz w:val="24"/>
              </w:rPr>
              <w:t>Τα μερίδια ή οι μετοχές σε ΟΣΕ τα υποκείμενα στοιχεία ενεργητικού των οποίων αντιστοιχούν σε στοιχεία ενεργητικού που χαρακτηρίζονται πράγματι ως στοιχεία ενεργητικού επιπέδου 2Β, όπως ορίζεται στο άρθρο 13 παράγραφος 2 στοιχείο ζ) σημεία i), ii) και iv) του κατ’ εξουσιοδότηση κανονισμού (ΕΕ) 2015/61.</w:t>
            </w:r>
          </w:p>
        </w:tc>
      </w:tr>
      <w:tr w:rsidR="00B47B7D" w:rsidRPr="000B6B22" w14:paraId="778F6E7F" w14:textId="77777777" w:rsidTr="002B73CC">
        <w:tc>
          <w:tcPr>
            <w:tcW w:w="1097" w:type="dxa"/>
            <w:shd w:val="clear" w:color="auto" w:fill="FFFFFF"/>
            <w:vAlign w:val="center"/>
          </w:tcPr>
          <w:p w14:paraId="29C1341C" w14:textId="7743D49E" w:rsidR="006E48EA" w:rsidRPr="000B6B22" w:rsidRDefault="00500145">
            <w:pPr>
              <w:spacing w:before="0"/>
              <w:rPr>
                <w:rFonts w:ascii="Times New Roman" w:hAnsi="Times New Roman"/>
                <w:sz w:val="24"/>
              </w:rPr>
            </w:pPr>
            <w:r>
              <w:rPr>
                <w:rFonts w:ascii="Times New Roman" w:hAnsi="Times New Roman"/>
                <w:sz w:val="24"/>
              </w:rPr>
              <w:t>0420</w:t>
            </w:r>
          </w:p>
        </w:tc>
        <w:tc>
          <w:tcPr>
            <w:tcW w:w="7125" w:type="dxa"/>
            <w:gridSpan w:val="2"/>
            <w:shd w:val="clear" w:color="auto" w:fill="FFFFFF"/>
          </w:tcPr>
          <w:p w14:paraId="2D2596E8" w14:textId="3E975BCC" w:rsidR="006E48EA" w:rsidRPr="000B6B22" w:rsidRDefault="006E48EA">
            <w:pPr>
              <w:spacing w:before="0"/>
              <w:ind w:left="33"/>
              <w:rPr>
                <w:rFonts w:ascii="Times New Roman" w:hAnsi="Times New Roman"/>
                <w:b/>
                <w:sz w:val="24"/>
              </w:rPr>
            </w:pPr>
            <w:r>
              <w:rPr>
                <w:rFonts w:ascii="Times New Roman" w:hAnsi="Times New Roman"/>
                <w:b/>
                <w:sz w:val="24"/>
              </w:rPr>
              <w:t>1.2.2.11. Αποδεκτές μετοχές/μερίδια σε ΟΣΕ: τα υποκείμενα στοιχεία είναι υψηλής ποιότητας καλυμμένα ομόλογα (ΣΣΚ 35 %)</w:t>
            </w:r>
          </w:p>
          <w:p w14:paraId="25584DDF" w14:textId="4FA97866" w:rsidR="006E48EA" w:rsidRPr="000B6B22" w:rsidRDefault="00DD4C72">
            <w:pPr>
              <w:spacing w:before="0"/>
              <w:ind w:left="33"/>
              <w:rPr>
                <w:rFonts w:ascii="Times New Roman" w:hAnsi="Times New Roman"/>
                <w:sz w:val="24"/>
              </w:rPr>
            </w:pPr>
            <w:r>
              <w:rPr>
                <w:rFonts w:ascii="Times New Roman" w:hAnsi="Times New Roman"/>
                <w:sz w:val="24"/>
              </w:rPr>
              <w:t>Άρθρο 15 παράγραφος 2 στοιχείο στ) του κατ’ εξουσιοδότηση κανονισμού (ΕΕ) 2015/61</w:t>
            </w:r>
          </w:p>
          <w:p w14:paraId="4D41FCE3" w14:textId="337CD259" w:rsidR="006E48EA" w:rsidRPr="000B6B22" w:rsidRDefault="006E48EA">
            <w:pPr>
              <w:spacing w:before="0"/>
              <w:ind w:left="33"/>
              <w:rPr>
                <w:rFonts w:ascii="Times New Roman" w:hAnsi="Times New Roman"/>
                <w:b/>
                <w:sz w:val="24"/>
              </w:rPr>
            </w:pPr>
            <w:r>
              <w:rPr>
                <w:rFonts w:ascii="Times New Roman" w:hAnsi="Times New Roman"/>
                <w:sz w:val="24"/>
              </w:rPr>
              <w:t>Τα μερίδια ή οι μετοχές σε ΟΣΕ τα υποκείμενα στοιχεία ενεργητικού των οποίων αντιστοιχούν σε στοιχεία ενεργητικού που χαρακτηρίζονται πράγματι ως στοιχεία ενεργητικού επιπέδου 2Β, όπως ορίζεται στο άρθρο 12 παράγραφος 1 στοιχείο ε) του κατ’ εξουσιοδότηση κανονισμού (ΕΕ) 2015/61.</w:t>
            </w:r>
          </w:p>
        </w:tc>
      </w:tr>
      <w:tr w:rsidR="00B47B7D" w:rsidRPr="000B6B22" w14:paraId="544000AE" w14:textId="77777777" w:rsidTr="002B73CC">
        <w:tc>
          <w:tcPr>
            <w:tcW w:w="1097" w:type="dxa"/>
            <w:shd w:val="clear" w:color="auto" w:fill="FFFFFF"/>
            <w:vAlign w:val="center"/>
          </w:tcPr>
          <w:p w14:paraId="548EFCC4" w14:textId="4E57651B" w:rsidR="006E48EA" w:rsidRPr="000B6B22" w:rsidRDefault="00500145">
            <w:pPr>
              <w:spacing w:before="0"/>
              <w:rPr>
                <w:rFonts w:ascii="Times New Roman" w:hAnsi="Times New Roman"/>
                <w:sz w:val="24"/>
              </w:rPr>
            </w:pPr>
            <w:r>
              <w:rPr>
                <w:rFonts w:ascii="Times New Roman" w:hAnsi="Times New Roman"/>
                <w:sz w:val="24"/>
              </w:rPr>
              <w:t>0430</w:t>
            </w:r>
          </w:p>
        </w:tc>
        <w:tc>
          <w:tcPr>
            <w:tcW w:w="7125" w:type="dxa"/>
            <w:gridSpan w:val="2"/>
            <w:shd w:val="clear" w:color="auto" w:fill="FFFFFF"/>
          </w:tcPr>
          <w:p w14:paraId="0C83C425" w14:textId="77777777" w:rsidR="006E48EA" w:rsidRPr="000B6B22" w:rsidRDefault="006E48EA">
            <w:pPr>
              <w:spacing w:before="0"/>
              <w:ind w:left="33"/>
              <w:rPr>
                <w:rFonts w:ascii="Times New Roman" w:hAnsi="Times New Roman"/>
                <w:b/>
                <w:sz w:val="24"/>
              </w:rPr>
            </w:pPr>
            <w:r>
              <w:rPr>
                <w:rFonts w:ascii="Times New Roman" w:hAnsi="Times New Roman"/>
                <w:b/>
                <w:sz w:val="24"/>
              </w:rPr>
              <w:t>1.2.2.12. Αποδεκτές μετοχές/μερίδια σε ΟΣΕ: τα υποκείμενα στοιχεία είναι τίτλοι προερχόμενοι από τιτλοποίηση (εμπορικά δάνεια ή δάνεια σε ιδιώτες, κράτος μέλος, ΒΠΠ1)</w:t>
            </w:r>
          </w:p>
          <w:p w14:paraId="4B2DEA62" w14:textId="569E6C62" w:rsidR="006E48EA" w:rsidRPr="000B6B22" w:rsidRDefault="00DD4C72">
            <w:pPr>
              <w:spacing w:before="0"/>
              <w:ind w:left="33"/>
              <w:rPr>
                <w:rFonts w:ascii="Times New Roman" w:hAnsi="Times New Roman"/>
                <w:sz w:val="24"/>
              </w:rPr>
            </w:pPr>
            <w:r>
              <w:rPr>
                <w:rFonts w:ascii="Times New Roman" w:hAnsi="Times New Roman"/>
                <w:sz w:val="24"/>
              </w:rPr>
              <w:t>Άρθρο 15 παράγραφος 2 στοιχείο ζ) του κατ’ εξουσιοδότηση κανονισμού (ΕΕ) 2015/61</w:t>
            </w:r>
          </w:p>
          <w:p w14:paraId="0BBC5CC7" w14:textId="16B0D374" w:rsidR="006E48EA" w:rsidRPr="000B6B22" w:rsidRDefault="006E48EA">
            <w:pPr>
              <w:spacing w:before="0"/>
              <w:ind w:left="33"/>
              <w:rPr>
                <w:rFonts w:ascii="Times New Roman" w:hAnsi="Times New Roman"/>
                <w:b/>
                <w:sz w:val="24"/>
              </w:rPr>
            </w:pPr>
            <w:r>
              <w:rPr>
                <w:rFonts w:ascii="Times New Roman" w:hAnsi="Times New Roman"/>
                <w:sz w:val="24"/>
              </w:rPr>
              <w:lastRenderedPageBreak/>
              <w:t>Τα μερίδια ή οι μετοχές σε ΟΣΕ τα υποκείμενα στοιχεία ενεργητικού των οποίων αντιστοιχούν σε στοιχεία ενεργητικού που χαρακτηρίζονται πράγματι ως στοιχεία ενεργητικού επιπέδου 2Β, όπως ορίζεται στο άρθρο 13 παράγραφος 2 στοιχείο ζ) σημεία iii) και v) του κατ’ εξουσιοδότηση κανονισμού (ΕΕ) 2015/61. Για τους σκοπούς του άρθρου 13 παράγραφος 2 στοιχείο ζ) σημείο iii), τουλάχιστον το 80 % των δανειοληπτών στην ομάδα είναι μικρές και μεσαίες επιχειρήσεις κατά τον χρόνο έκδοσης της τιτλοποίησης.</w:t>
            </w:r>
          </w:p>
        </w:tc>
      </w:tr>
      <w:tr w:rsidR="00B47B7D" w:rsidRPr="000B6B22" w14:paraId="75678763" w14:textId="77777777" w:rsidTr="002B73CC">
        <w:tc>
          <w:tcPr>
            <w:tcW w:w="1097" w:type="dxa"/>
            <w:shd w:val="clear" w:color="auto" w:fill="FFFFFF"/>
            <w:vAlign w:val="center"/>
          </w:tcPr>
          <w:p w14:paraId="3666EA81" w14:textId="43FCC59E" w:rsidR="006E48EA" w:rsidRPr="000B6B22" w:rsidRDefault="00500145">
            <w:pPr>
              <w:spacing w:before="0"/>
              <w:rPr>
                <w:rFonts w:ascii="Times New Roman" w:hAnsi="Times New Roman"/>
                <w:sz w:val="24"/>
              </w:rPr>
            </w:pPr>
            <w:r>
              <w:rPr>
                <w:rFonts w:ascii="Times New Roman" w:hAnsi="Times New Roman"/>
                <w:sz w:val="24"/>
              </w:rPr>
              <w:lastRenderedPageBreak/>
              <w:t>0440</w:t>
            </w:r>
          </w:p>
        </w:tc>
        <w:tc>
          <w:tcPr>
            <w:tcW w:w="7125" w:type="dxa"/>
            <w:gridSpan w:val="2"/>
            <w:shd w:val="clear" w:color="auto" w:fill="FFFFFF"/>
          </w:tcPr>
          <w:p w14:paraId="253F21CB" w14:textId="77777777" w:rsidR="006E48EA" w:rsidRPr="000B6B22" w:rsidRDefault="006E48EA">
            <w:pPr>
              <w:spacing w:before="0"/>
              <w:ind w:left="33"/>
              <w:rPr>
                <w:rFonts w:ascii="Times New Roman" w:hAnsi="Times New Roman"/>
                <w:b/>
                <w:sz w:val="24"/>
              </w:rPr>
            </w:pPr>
            <w:r>
              <w:rPr>
                <w:rFonts w:ascii="Times New Roman" w:hAnsi="Times New Roman"/>
                <w:b/>
                <w:sz w:val="24"/>
              </w:rPr>
              <w:t>1.2.2.13. Αποδεκτές μετοχές/μερίδια σε ΟΣΕ: τα υποκείμενα στοιχεία είναι εταιρικοί χρεωστικοί τίτλοι (ΒΠΠ2/3), μετοχές (μείζων χρηματιστηριακός δείκτης) ή μη τοκοφόρα στοιχεία ενεργητικού (που κατέχονται από πιστωτικά ιδρύματα για θρησκευτικούς λόγους) (ΒΠΠ3-5)</w:t>
            </w:r>
          </w:p>
          <w:p w14:paraId="5CF65DF5" w14:textId="0467921C" w:rsidR="006E48EA" w:rsidRPr="000B6B22" w:rsidRDefault="00DD4C72">
            <w:pPr>
              <w:spacing w:before="0"/>
              <w:ind w:left="33"/>
              <w:rPr>
                <w:rFonts w:ascii="Times New Roman" w:hAnsi="Times New Roman"/>
                <w:b/>
                <w:bCs/>
                <w:sz w:val="24"/>
              </w:rPr>
            </w:pPr>
            <w:r>
              <w:rPr>
                <w:rFonts w:ascii="Times New Roman" w:hAnsi="Times New Roman"/>
                <w:sz w:val="24"/>
              </w:rPr>
              <w:t>Άρθρο 15 παράγραφος 2 στοιχείο η) του κατ’ εξουσιοδότηση κανονισμού (ΕΕ) 2015/61</w:t>
            </w:r>
          </w:p>
          <w:p w14:paraId="4AECB1A3" w14:textId="18ACD98B" w:rsidR="006E48EA" w:rsidRPr="000B6B22" w:rsidRDefault="006E48EA">
            <w:pPr>
              <w:spacing w:before="0"/>
              <w:ind w:left="33"/>
              <w:rPr>
                <w:rFonts w:ascii="Times New Roman" w:hAnsi="Times New Roman"/>
                <w:b/>
                <w:sz w:val="24"/>
              </w:rPr>
            </w:pPr>
            <w:r>
              <w:rPr>
                <w:rFonts w:ascii="Times New Roman" w:hAnsi="Times New Roman"/>
                <w:sz w:val="24"/>
              </w:rPr>
              <w:t>Τα μερίδια ή οι μετοχές σε ΟΣΕ τα υποκείμενα στοιχεία ενεργητικού των οποίων αντιστοιχούν σε εταιρικούς χρεωστικούς τίτλους που είναι σύμφωνοι με το άρθρο 12 παράγραφος 1 στοιχείο β) του κατ’ εξουσιοδότηση κανονισμού (ΕΕ) 2015/61, μετοχές που είναι σύμφωνες με το άρθρο 12 παράγραφος 1 στοιχείο γ) του ίδιου κανονισμού ή μη τοκοφόρα στοιχεία ενεργητικού που είναι σύμφωνα με το άρθρο 12 παράγραφος 1 στοιχείο στ) του ίδιου κανονισμού.</w:t>
            </w:r>
          </w:p>
        </w:tc>
      </w:tr>
      <w:tr w:rsidR="00B47B7D" w:rsidRPr="000B6B22" w14:paraId="77725235" w14:textId="77777777" w:rsidTr="002B73CC">
        <w:tc>
          <w:tcPr>
            <w:tcW w:w="1097" w:type="dxa"/>
            <w:shd w:val="clear" w:color="auto" w:fill="FFFFFF"/>
            <w:vAlign w:val="center"/>
          </w:tcPr>
          <w:p w14:paraId="1FC1E49E" w14:textId="7691E42D" w:rsidR="006E48EA" w:rsidRPr="000B6B22" w:rsidRDefault="00500145">
            <w:pPr>
              <w:spacing w:before="0"/>
              <w:rPr>
                <w:rFonts w:ascii="Times New Roman" w:hAnsi="Times New Roman"/>
                <w:sz w:val="24"/>
              </w:rPr>
            </w:pPr>
            <w:r>
              <w:rPr>
                <w:rFonts w:ascii="Times New Roman" w:hAnsi="Times New Roman"/>
                <w:sz w:val="24"/>
              </w:rPr>
              <w:t>0450</w:t>
            </w:r>
          </w:p>
        </w:tc>
        <w:tc>
          <w:tcPr>
            <w:tcW w:w="7125" w:type="dxa"/>
            <w:gridSpan w:val="2"/>
            <w:shd w:val="clear" w:color="auto" w:fill="FFFFFF"/>
          </w:tcPr>
          <w:p w14:paraId="0F09FD7B" w14:textId="3A225927" w:rsidR="006E48EA" w:rsidRPr="000B6B22" w:rsidRDefault="006E48EA">
            <w:pPr>
              <w:spacing w:before="0"/>
              <w:ind w:left="33"/>
              <w:rPr>
                <w:rFonts w:ascii="Times New Roman" w:hAnsi="Times New Roman"/>
                <w:b/>
                <w:sz w:val="24"/>
              </w:rPr>
            </w:pPr>
            <w:r>
              <w:rPr>
                <w:rFonts w:ascii="Times New Roman" w:hAnsi="Times New Roman"/>
                <w:b/>
                <w:sz w:val="24"/>
              </w:rPr>
              <w:t>1.2.2.14. Καταθέσεις από μέλος δικτύου σε κεντρικό ίδρυμα (μη υποχρεωτική επένδυση)</w:t>
            </w:r>
          </w:p>
          <w:p w14:paraId="064872FC" w14:textId="52C2F4B9" w:rsidR="006E48EA" w:rsidRPr="000B6B22" w:rsidRDefault="00DD4C72">
            <w:pPr>
              <w:spacing w:before="0"/>
              <w:ind w:left="33"/>
              <w:rPr>
                <w:rFonts w:ascii="Times New Roman" w:hAnsi="Times New Roman"/>
                <w:sz w:val="24"/>
              </w:rPr>
            </w:pPr>
            <w:r>
              <w:rPr>
                <w:rFonts w:ascii="Times New Roman" w:hAnsi="Times New Roman"/>
                <w:sz w:val="24"/>
              </w:rPr>
              <w:t>Άρθρο 16 παράγραφος 1 στοιχείο β) του κατ’ εξουσιοδότηση κανονισμού (ΕΕ) 2015/61</w:t>
            </w:r>
          </w:p>
          <w:p w14:paraId="722CBF74" w14:textId="1C3348F5" w:rsidR="006E48EA" w:rsidRPr="000B6B22" w:rsidRDefault="006E48EA">
            <w:pPr>
              <w:spacing w:before="0"/>
              <w:ind w:left="33"/>
              <w:rPr>
                <w:rFonts w:ascii="Times New Roman" w:hAnsi="Times New Roman"/>
                <w:sz w:val="24"/>
              </w:rPr>
            </w:pPr>
            <w:r>
              <w:rPr>
                <w:rFonts w:ascii="Times New Roman" w:hAnsi="Times New Roman"/>
                <w:sz w:val="24"/>
              </w:rPr>
              <w:t>Ελάχιστες καταθέσεις τις οποίες το πιστωτικό ίδρυμα διατηρεί στο κεντρικό πιστωτικό ίδρυμα, εφόσον αποτελεί μέρος θεσμικού συστήματος προστασίας που προβλέπεται στο άρθρο 113 παράγραφος 7 του κανονισμού (ΕΕ) αριθ. 575/2013, δικτύου που είναι επιλέξιμο για την απαλλαγή που προβλέπεται στο άρθρο 10 του ίδιου κανονισμού ή συνεταιριστικού δικτύου κράτους μέλους που διέπεται από τον νόμο ή από σύμβαση.</w:t>
            </w:r>
          </w:p>
          <w:p w14:paraId="25A9A02B" w14:textId="76829A1F" w:rsidR="006E48EA" w:rsidRPr="000B6B22" w:rsidRDefault="006E48EA">
            <w:pPr>
              <w:spacing w:before="0"/>
              <w:ind w:left="33"/>
              <w:rPr>
                <w:rFonts w:ascii="Times New Roman" w:hAnsi="Times New Roman"/>
                <w:sz w:val="24"/>
              </w:rPr>
            </w:pPr>
            <w:r>
              <w:rPr>
                <w:rFonts w:ascii="Times New Roman" w:hAnsi="Times New Roman"/>
                <w:sz w:val="24"/>
              </w:rPr>
              <w:t>Τα πιστωτικά ιδρύματα διασφαλίζουν ότι το κεντρικό ίδρυμα δεν υπέχει καμία νομική ή συμβατική υποχρέωση να κατέχει ή να επενδύει τις καταθέσεις σε ρευστά στοιχεία ενεργητικού συγκεκριμένου επιπέδου ή κατηγορίας.</w:t>
            </w:r>
          </w:p>
        </w:tc>
      </w:tr>
      <w:tr w:rsidR="00B47B7D" w:rsidRPr="000B6B22" w14:paraId="6EE26AD3" w14:textId="77777777" w:rsidTr="002B73CC">
        <w:tc>
          <w:tcPr>
            <w:tcW w:w="1097" w:type="dxa"/>
            <w:shd w:val="clear" w:color="auto" w:fill="FFFFFF"/>
            <w:vAlign w:val="center"/>
          </w:tcPr>
          <w:p w14:paraId="77C8AB1E" w14:textId="308E973A" w:rsidR="006E48EA" w:rsidRPr="000B6B22" w:rsidRDefault="00500145">
            <w:pPr>
              <w:spacing w:before="0"/>
              <w:rPr>
                <w:rFonts w:ascii="Times New Roman" w:hAnsi="Times New Roman"/>
                <w:sz w:val="24"/>
              </w:rPr>
            </w:pPr>
            <w:r>
              <w:rPr>
                <w:rFonts w:ascii="Times New Roman" w:hAnsi="Times New Roman"/>
                <w:sz w:val="24"/>
              </w:rPr>
              <w:t>0460</w:t>
            </w:r>
          </w:p>
        </w:tc>
        <w:tc>
          <w:tcPr>
            <w:tcW w:w="7125" w:type="dxa"/>
            <w:gridSpan w:val="2"/>
            <w:shd w:val="clear" w:color="auto" w:fill="FFFFFF"/>
          </w:tcPr>
          <w:p w14:paraId="6859A571" w14:textId="77777777" w:rsidR="006E48EA" w:rsidRPr="000B6B22" w:rsidRDefault="006E48EA">
            <w:pPr>
              <w:spacing w:before="0"/>
              <w:ind w:left="33"/>
              <w:rPr>
                <w:rFonts w:ascii="Times New Roman" w:hAnsi="Times New Roman"/>
                <w:b/>
                <w:sz w:val="24"/>
              </w:rPr>
            </w:pPr>
            <w:r>
              <w:rPr>
                <w:rFonts w:ascii="Times New Roman" w:hAnsi="Times New Roman"/>
                <w:b/>
                <w:sz w:val="24"/>
              </w:rPr>
              <w:t>1.2.2.15. Διαθέσιμη χρηματοδότηση ρευστότητας σε μέλος δικτύου από κεντρικό ίδρυμα (μη προσδιοριζόμενη εξασφάλιση)</w:t>
            </w:r>
          </w:p>
          <w:p w14:paraId="1C5CBFDF" w14:textId="0B5F7D2B" w:rsidR="006E48EA" w:rsidRPr="000B6B22" w:rsidRDefault="006E48EA">
            <w:pPr>
              <w:spacing w:before="0"/>
              <w:ind w:left="33"/>
              <w:rPr>
                <w:rFonts w:ascii="Times New Roman" w:hAnsi="Times New Roman"/>
                <w:sz w:val="24"/>
              </w:rPr>
            </w:pPr>
            <w:r>
              <w:rPr>
                <w:rFonts w:ascii="Times New Roman" w:hAnsi="Times New Roman"/>
                <w:sz w:val="24"/>
              </w:rPr>
              <w:t>Άρθρο 16 παράγραφος 2 του κατ’ εξουσιοδότηση κανονισμού (ΕΕ) 2015/61</w:t>
            </w:r>
          </w:p>
          <w:p w14:paraId="15E0DF47" w14:textId="69518F4B" w:rsidR="006E48EA" w:rsidRPr="000B6B22" w:rsidRDefault="006E48EA">
            <w:pPr>
              <w:spacing w:before="0"/>
              <w:ind w:left="33"/>
              <w:rPr>
                <w:rFonts w:ascii="Times New Roman" w:hAnsi="Times New Roman"/>
                <w:b/>
                <w:sz w:val="24"/>
              </w:rPr>
            </w:pPr>
            <w:r>
              <w:rPr>
                <w:rFonts w:ascii="Times New Roman" w:hAnsi="Times New Roman"/>
                <w:sz w:val="24"/>
              </w:rPr>
              <w:t>Μη αναληφθέν ποσό περιορισμένης χρηματοδότησης ρευστότητας σύμφωνα με το άρθρο 16 παράγραφος 2 του κατ’ εξουσιοδότηση κανονισμού (ΕΕ) 2015/61.</w:t>
            </w:r>
          </w:p>
        </w:tc>
      </w:tr>
      <w:tr w:rsidR="00B47B7D" w:rsidRPr="000B6B22" w14:paraId="25E975B3" w14:textId="77777777" w:rsidTr="002B73CC">
        <w:tc>
          <w:tcPr>
            <w:tcW w:w="1097" w:type="dxa"/>
            <w:shd w:val="clear" w:color="auto" w:fill="FFFFFF"/>
            <w:vAlign w:val="center"/>
          </w:tcPr>
          <w:p w14:paraId="7F291E27" w14:textId="7C842427" w:rsidR="006E48EA" w:rsidRPr="000B6B22" w:rsidRDefault="00500145">
            <w:pPr>
              <w:spacing w:before="0"/>
              <w:rPr>
                <w:rFonts w:ascii="Times New Roman" w:hAnsi="Times New Roman"/>
                <w:sz w:val="24"/>
              </w:rPr>
            </w:pPr>
            <w:r>
              <w:rPr>
                <w:rFonts w:ascii="Times New Roman" w:hAnsi="Times New Roman"/>
                <w:sz w:val="24"/>
              </w:rPr>
              <w:lastRenderedPageBreak/>
              <w:t>0470</w:t>
            </w:r>
          </w:p>
        </w:tc>
        <w:tc>
          <w:tcPr>
            <w:tcW w:w="7125" w:type="dxa"/>
            <w:gridSpan w:val="2"/>
            <w:shd w:val="clear" w:color="auto" w:fill="FFFFFF"/>
          </w:tcPr>
          <w:p w14:paraId="6776C7F6" w14:textId="77777777" w:rsidR="006E48EA" w:rsidRPr="000B6B22" w:rsidRDefault="006E48EA">
            <w:pPr>
              <w:spacing w:before="0"/>
              <w:ind w:left="33"/>
              <w:rPr>
                <w:rFonts w:ascii="Times New Roman" w:hAnsi="Times New Roman"/>
                <w:b/>
                <w:sz w:val="24"/>
              </w:rPr>
            </w:pPr>
            <w:r>
              <w:rPr>
                <w:rFonts w:ascii="Times New Roman" w:hAnsi="Times New Roman"/>
                <w:b/>
                <w:sz w:val="24"/>
              </w:rPr>
              <w:t>1.2.2.16. Κεντρικά πιστωτικά ιδρύματα: στοιχεία ενεργητικού επιπέδου 2Β που θεωρούνται ρευστά στοιχεία ενεργητικού για το πιστωτικό ίδρυμα που πραγματοποιεί την κατάθεση</w:t>
            </w:r>
          </w:p>
          <w:p w14:paraId="43B4FA57" w14:textId="1AB5970F" w:rsidR="006E48EA" w:rsidRPr="000B6B22" w:rsidRDefault="006E48EA">
            <w:pPr>
              <w:spacing w:before="0"/>
              <w:ind w:left="33"/>
              <w:rPr>
                <w:rFonts w:ascii="Times New Roman" w:hAnsi="Times New Roman"/>
                <w:bCs/>
                <w:sz w:val="24"/>
              </w:rPr>
            </w:pPr>
            <w:r>
              <w:rPr>
                <w:rFonts w:ascii="Times New Roman" w:hAnsi="Times New Roman"/>
                <w:sz w:val="24"/>
              </w:rPr>
              <w:t>Άρθρο 27 παράγραφος 3 του κατ’ εξουσιοδότηση κανονισμού (ΕΕ) 2015/61.</w:t>
            </w:r>
          </w:p>
          <w:p w14:paraId="15F5F2B2" w14:textId="39ED2491" w:rsidR="006E48EA" w:rsidRPr="000B6B22" w:rsidRDefault="006E48EA">
            <w:pPr>
              <w:spacing w:before="0"/>
              <w:ind w:left="33"/>
              <w:rPr>
                <w:rFonts w:ascii="Times New Roman" w:hAnsi="Times New Roman"/>
                <w:sz w:val="24"/>
              </w:rPr>
            </w:pPr>
            <w:r>
              <w:rPr>
                <w:rFonts w:ascii="Times New Roman" w:hAnsi="Times New Roman"/>
                <w:sz w:val="24"/>
              </w:rPr>
              <w:t>Σύμφωνα με το άρθρο 27 παράγραφος 3 του κατ’ εξουσιοδότηση κανονισμού (ΕΕ) 2015/61, είναι αναγκαίο να εντοπιστούν τα ρευστά στοιχεία ενεργητικού που αντιστοιχούν σε καταθέσεις από πιστωτικά ιδρύματα προς το κεντρικό ίδρυμα και θεωρούνται ρευστά στοιχεία ενεργητικού για το πιστωτικό ίδρυμα που πραγματοποιεί την κατάθεση. Τα εν λόγω ρευστά στοιχεία ενεργητικού δεν προσμετρώνται για την κάλυψη άλλων εκροών εκτός από εκείνες που αντιστοιχούν σε καταθέσεις και δεν λαμβάνονται υπόψη για τους σκοπούς των υπολογισμών της σύνθεσης του εναπομένοντος αποθέματος ασφαλείας ρευστότητας βάσει του άρθρου 17 για το κεντρικό ίδρυμα σε ατομικό επίπεδο.</w:t>
            </w:r>
          </w:p>
          <w:p w14:paraId="2F3A2634" w14:textId="59A09B8D" w:rsidR="006E48EA" w:rsidRPr="000B6B22" w:rsidRDefault="006E48EA">
            <w:pPr>
              <w:spacing w:before="0"/>
              <w:ind w:left="33"/>
              <w:rPr>
                <w:rFonts w:ascii="Times New Roman" w:hAnsi="Times New Roman"/>
                <w:bCs/>
                <w:sz w:val="24"/>
              </w:rPr>
            </w:pPr>
            <w:r>
              <w:rPr>
                <w:rFonts w:ascii="Times New Roman" w:hAnsi="Times New Roman"/>
                <w:sz w:val="24"/>
              </w:rPr>
              <w:t>Τα κεντρικά ιδρύματα, όταν αναφέρουν τα εν λόγω στοιχεία ενεργητικού, εξασφαλίζουν ότι το ποσό αυτών των ρευστών στοιχείων ενεργητικού μετά την περικοπή δεν υπερβαίνει την εκροή από τις αντίστοιχες καταθέσεις.</w:t>
            </w:r>
          </w:p>
          <w:p w14:paraId="31FBDA10" w14:textId="77777777" w:rsidR="006E48EA" w:rsidRPr="000B6B22" w:rsidRDefault="006E48EA">
            <w:pPr>
              <w:spacing w:before="0"/>
              <w:ind w:left="33"/>
              <w:rPr>
                <w:rFonts w:ascii="Times New Roman" w:hAnsi="Times New Roman"/>
                <w:b/>
                <w:sz w:val="24"/>
              </w:rPr>
            </w:pPr>
            <w:r>
              <w:rPr>
                <w:rFonts w:ascii="Times New Roman" w:hAnsi="Times New Roman"/>
                <w:sz w:val="24"/>
              </w:rPr>
              <w:t>Τα στοιχεία ενεργητικού που αναφέρονται στην παρούσα γραμμή είναι στοιχεία ενεργητικού επιπέδου 2Β.</w:t>
            </w:r>
          </w:p>
        </w:tc>
      </w:tr>
      <w:tr w:rsidR="00B47B7D" w:rsidRPr="000B6B22" w14:paraId="7596C049" w14:textId="77777777" w:rsidTr="002B73CC">
        <w:tc>
          <w:tcPr>
            <w:tcW w:w="8222" w:type="dxa"/>
            <w:gridSpan w:val="3"/>
            <w:shd w:val="clear" w:color="auto" w:fill="D9D9D9"/>
            <w:vAlign w:val="center"/>
          </w:tcPr>
          <w:p w14:paraId="3340B8E3" w14:textId="77777777" w:rsidR="001610DF" w:rsidRPr="000B6B22" w:rsidRDefault="001610DF">
            <w:pPr>
              <w:spacing w:before="0"/>
              <w:ind w:left="33"/>
              <w:rPr>
                <w:rFonts w:ascii="Times New Roman" w:hAnsi="Times New Roman"/>
                <w:b/>
                <w:sz w:val="24"/>
                <w:lang w:eastAsia="de-DE"/>
              </w:rPr>
            </w:pPr>
          </w:p>
          <w:p w14:paraId="5501B8ED" w14:textId="77777777" w:rsidR="001610DF" w:rsidRPr="000B6B22" w:rsidRDefault="001610DF">
            <w:pPr>
              <w:spacing w:before="0"/>
              <w:ind w:left="33"/>
              <w:rPr>
                <w:rFonts w:ascii="Times New Roman" w:hAnsi="Times New Roman"/>
                <w:b/>
                <w:sz w:val="24"/>
              </w:rPr>
            </w:pPr>
            <w:r>
              <w:rPr>
                <w:rFonts w:ascii="Times New Roman" w:hAnsi="Times New Roman"/>
                <w:b/>
                <w:sz w:val="24"/>
              </w:rPr>
              <w:t>ΥΠΟΜΝΗΜΑΤΙΚΑ ΣΤΟΙΧΕΙΑ</w:t>
            </w:r>
          </w:p>
          <w:p w14:paraId="3E203B7B" w14:textId="77777777" w:rsidR="001610DF" w:rsidRPr="000B6B22" w:rsidRDefault="001610DF">
            <w:pPr>
              <w:spacing w:before="0"/>
              <w:ind w:left="33"/>
              <w:rPr>
                <w:rFonts w:ascii="Times New Roman" w:hAnsi="Times New Roman"/>
                <w:b/>
                <w:sz w:val="24"/>
                <w:lang w:eastAsia="de-DE"/>
              </w:rPr>
            </w:pPr>
          </w:p>
        </w:tc>
      </w:tr>
      <w:tr w:rsidR="00B47B7D" w:rsidRPr="000B6B22" w14:paraId="14DA8E38" w14:textId="77777777" w:rsidTr="002B73CC">
        <w:tc>
          <w:tcPr>
            <w:tcW w:w="1097" w:type="dxa"/>
            <w:shd w:val="clear" w:color="auto" w:fill="FFFFFF"/>
            <w:vAlign w:val="center"/>
          </w:tcPr>
          <w:p w14:paraId="13AEDF51" w14:textId="5F332EEF" w:rsidR="008E0E1A" w:rsidRPr="000B6B22" w:rsidRDefault="00500145">
            <w:pPr>
              <w:spacing w:before="0"/>
              <w:rPr>
                <w:rFonts w:ascii="Times New Roman" w:hAnsi="Times New Roman"/>
                <w:sz w:val="24"/>
              </w:rPr>
            </w:pPr>
            <w:r>
              <w:rPr>
                <w:rFonts w:ascii="Times New Roman" w:hAnsi="Times New Roman"/>
                <w:sz w:val="24"/>
              </w:rPr>
              <w:t>0485</w:t>
            </w:r>
          </w:p>
        </w:tc>
        <w:tc>
          <w:tcPr>
            <w:tcW w:w="7125" w:type="dxa"/>
            <w:gridSpan w:val="2"/>
            <w:shd w:val="clear" w:color="auto" w:fill="FFFFFF"/>
          </w:tcPr>
          <w:p w14:paraId="6AE21776" w14:textId="29AF70E7" w:rsidR="008E0E1A" w:rsidRPr="000B6B22" w:rsidRDefault="008E0E1A">
            <w:pPr>
              <w:spacing w:before="0"/>
              <w:ind w:left="33"/>
              <w:rPr>
                <w:rFonts w:ascii="Times New Roman" w:hAnsi="Times New Roman"/>
                <w:b/>
                <w:bCs/>
                <w:sz w:val="24"/>
              </w:rPr>
            </w:pPr>
            <w:r>
              <w:rPr>
                <w:rFonts w:ascii="Times New Roman" w:hAnsi="Times New Roman"/>
                <w:b/>
                <w:sz w:val="24"/>
              </w:rPr>
              <w:t>2. Καταθέσεις από μέλος δικτύου σε κεντρικό πιστωτικό ίδρυμα (υποχρεωτική επένδυση)</w:t>
            </w:r>
          </w:p>
          <w:p w14:paraId="7FBD1F18" w14:textId="1A48C16F" w:rsidR="008E0E1A" w:rsidRPr="000B6B22" w:rsidRDefault="00DD4C72">
            <w:pPr>
              <w:spacing w:before="0"/>
              <w:ind w:left="33"/>
              <w:rPr>
                <w:rFonts w:ascii="Times New Roman" w:hAnsi="Times New Roman"/>
                <w:sz w:val="24"/>
              </w:rPr>
            </w:pPr>
            <w:r>
              <w:rPr>
                <w:rFonts w:ascii="Times New Roman" w:hAnsi="Times New Roman"/>
                <w:sz w:val="24"/>
              </w:rPr>
              <w:t>Άρθρο 16 παράγραφος 1 στοιχείο α) του κατ’ εξουσιοδότηση κανονισμού (ΕΕ) 2015/61.</w:t>
            </w:r>
          </w:p>
          <w:p w14:paraId="36B9E6DD" w14:textId="78F324AE" w:rsidR="008E0E1A" w:rsidRPr="000B6B22" w:rsidRDefault="008E0E1A">
            <w:pPr>
              <w:spacing w:before="0"/>
              <w:ind w:left="33"/>
              <w:rPr>
                <w:rFonts w:ascii="Times New Roman" w:hAnsi="Times New Roman"/>
                <w:b/>
                <w:sz w:val="24"/>
              </w:rPr>
            </w:pPr>
            <w:r>
              <w:rPr>
                <w:rFonts w:ascii="Times New Roman" w:hAnsi="Times New Roman"/>
                <w:sz w:val="24"/>
              </w:rPr>
              <w:t>Τα πιστωτικά ιδρύματα αναφέρουν το συνολικό ποσό των στοιχείων ενεργητικού που αναφέρονται στα ανωτέρω τμήματα σύμφωνα με τις απαιτήσεις του άρθρου 16 παράγραφος 1 στοιχείο α) του κατ’ εξουσιοδότηση κανονισμού (ΕΕ) 2015/61.</w:t>
            </w:r>
          </w:p>
        </w:tc>
      </w:tr>
      <w:tr w:rsidR="00B47B7D" w:rsidRPr="000B6B22" w14:paraId="7702F969" w14:textId="77777777" w:rsidTr="002B73CC">
        <w:tc>
          <w:tcPr>
            <w:tcW w:w="1097" w:type="dxa"/>
            <w:shd w:val="clear" w:color="auto" w:fill="FFFFFF"/>
            <w:vAlign w:val="center"/>
          </w:tcPr>
          <w:p w14:paraId="53D1AAE3" w14:textId="5239CB8A" w:rsidR="001610DF" w:rsidRPr="000B6B22" w:rsidRDefault="00500145">
            <w:pPr>
              <w:spacing w:before="0"/>
              <w:rPr>
                <w:rFonts w:ascii="Times New Roman" w:hAnsi="Times New Roman"/>
                <w:sz w:val="24"/>
              </w:rPr>
            </w:pPr>
            <w:r>
              <w:rPr>
                <w:rFonts w:ascii="Times New Roman" w:hAnsi="Times New Roman"/>
                <w:sz w:val="24"/>
              </w:rPr>
              <w:t>0580</w:t>
            </w:r>
          </w:p>
        </w:tc>
        <w:tc>
          <w:tcPr>
            <w:tcW w:w="7125" w:type="dxa"/>
            <w:gridSpan w:val="2"/>
            <w:shd w:val="clear" w:color="auto" w:fill="FFFFFF"/>
          </w:tcPr>
          <w:p w14:paraId="2D95B476" w14:textId="1E863E1B" w:rsidR="001610DF" w:rsidRPr="000B6B22" w:rsidRDefault="008E0E1A">
            <w:pPr>
              <w:spacing w:before="0"/>
              <w:ind w:left="33"/>
              <w:rPr>
                <w:rFonts w:ascii="Times New Roman" w:hAnsi="Times New Roman"/>
                <w:b/>
                <w:sz w:val="24"/>
              </w:rPr>
            </w:pPr>
            <w:r>
              <w:rPr>
                <w:rFonts w:ascii="Times New Roman" w:hAnsi="Times New Roman"/>
                <w:b/>
                <w:sz w:val="24"/>
              </w:rPr>
              <w:t>3. Στοιχεία ενεργητικού των επιπέδων 1/2A/2B που εξαιρούνται για νομισματικούς λόγους</w:t>
            </w:r>
          </w:p>
          <w:p w14:paraId="5ED093AB" w14:textId="22D331C1" w:rsidR="001610DF" w:rsidRPr="000B6B22" w:rsidRDefault="008A1680">
            <w:pPr>
              <w:spacing w:before="0"/>
              <w:ind w:left="33"/>
              <w:rPr>
                <w:rFonts w:ascii="Times New Roman" w:hAnsi="Times New Roman"/>
                <w:b/>
                <w:sz w:val="24"/>
              </w:rPr>
            </w:pPr>
            <w:r>
              <w:rPr>
                <w:rFonts w:ascii="Times New Roman" w:hAnsi="Times New Roman"/>
                <w:sz w:val="24"/>
              </w:rPr>
              <w:t>Άρθρο 8 παράγραφος 6, άρθρο 10 παράγραφος 1 στοιχείο δ) και άρθρο 12 παράγραφος 1 στοιχείο γ) του κατ’ εξουσιοδότηση κανονισμού (ΕΕ) 2015/61</w:t>
            </w:r>
          </w:p>
          <w:p w14:paraId="4912F30C" w14:textId="1B288D69" w:rsidR="001610DF" w:rsidRPr="000B6B22" w:rsidRDefault="001610DF">
            <w:pPr>
              <w:spacing w:before="0"/>
              <w:ind w:left="33"/>
              <w:rPr>
                <w:rFonts w:ascii="Times New Roman" w:hAnsi="Times New Roman"/>
                <w:b/>
                <w:sz w:val="24"/>
              </w:rPr>
            </w:pPr>
            <w:r>
              <w:rPr>
                <w:rFonts w:ascii="Times New Roman" w:hAnsi="Times New Roman"/>
                <w:sz w:val="24"/>
              </w:rPr>
              <w:t>Το ίδρυμα αναφέρει το τμήμα των στοιχείων ενεργητικού επιπέδου 1, επιπέδου 2Α και επιπέδου 2Β που αναφέρονται στα άρθρα 10 έως 16, τα οποία δεν αναγνωρίζονται από το ίδρυμα σύμφωνα με το άρθρο 8 παράγραφος 6, το άρθρο 10 παράγραφος 1 στοιχείο δ) και το άρθρο 12 παράγραφος 1 στοιχείο γ).</w:t>
            </w:r>
          </w:p>
        </w:tc>
      </w:tr>
      <w:tr w:rsidR="00B47B7D" w:rsidRPr="000B6B22" w14:paraId="69B2A9EF" w14:textId="77777777" w:rsidTr="002B73CC">
        <w:tc>
          <w:tcPr>
            <w:tcW w:w="1097" w:type="dxa"/>
            <w:shd w:val="clear" w:color="auto" w:fill="FFFFFF"/>
            <w:vAlign w:val="center"/>
          </w:tcPr>
          <w:p w14:paraId="4827311F" w14:textId="3E3694DF" w:rsidR="001610DF" w:rsidRPr="000B6B22" w:rsidRDefault="00500145" w:rsidP="009D4EFF">
            <w:pPr>
              <w:spacing w:before="0"/>
              <w:rPr>
                <w:rFonts w:ascii="Times New Roman" w:hAnsi="Times New Roman"/>
                <w:sz w:val="24"/>
              </w:rPr>
            </w:pPr>
            <w:r>
              <w:rPr>
                <w:rFonts w:ascii="Times New Roman" w:hAnsi="Times New Roman"/>
                <w:sz w:val="24"/>
              </w:rPr>
              <w:lastRenderedPageBreak/>
              <w:t>0590</w:t>
            </w:r>
          </w:p>
        </w:tc>
        <w:tc>
          <w:tcPr>
            <w:tcW w:w="7125" w:type="dxa"/>
            <w:gridSpan w:val="2"/>
            <w:shd w:val="clear" w:color="auto" w:fill="FFFFFF"/>
          </w:tcPr>
          <w:p w14:paraId="22945565" w14:textId="419CD43A" w:rsidR="001610DF" w:rsidRPr="000B6B22" w:rsidRDefault="008E0E1A">
            <w:pPr>
              <w:spacing w:before="0"/>
              <w:ind w:left="33"/>
              <w:rPr>
                <w:rFonts w:ascii="Times New Roman" w:hAnsi="Times New Roman"/>
                <w:b/>
                <w:sz w:val="24"/>
              </w:rPr>
            </w:pPr>
            <w:r>
              <w:rPr>
                <w:rFonts w:ascii="Times New Roman" w:hAnsi="Times New Roman"/>
                <w:b/>
                <w:sz w:val="24"/>
              </w:rPr>
              <w:t>4. Στοιχεία ενεργητικού των επιπέδων 1/2A/2B που εξαιρούνται για λειτουργικούς λόγους, πλην των νομισματικών λόγων</w:t>
            </w:r>
          </w:p>
          <w:p w14:paraId="2BF4C9BB" w14:textId="29A9C871" w:rsidR="001610DF" w:rsidRPr="000B6B22" w:rsidRDefault="008A1680">
            <w:pPr>
              <w:spacing w:before="0"/>
              <w:ind w:left="33"/>
              <w:rPr>
                <w:rFonts w:ascii="Times New Roman" w:hAnsi="Times New Roman"/>
                <w:b/>
                <w:bCs/>
                <w:sz w:val="24"/>
              </w:rPr>
            </w:pPr>
            <w:r>
              <w:rPr>
                <w:rFonts w:ascii="Times New Roman" w:hAnsi="Times New Roman"/>
                <w:sz w:val="24"/>
              </w:rPr>
              <w:t>Άρθρο 8 του κατ’ εξουσιοδότηση κανονισμού (ΕΕ) 2015/61</w:t>
            </w:r>
          </w:p>
          <w:p w14:paraId="2DBDE97A" w14:textId="7DC5B5E1" w:rsidR="001610DF" w:rsidRPr="000B6B22" w:rsidRDefault="001610DF">
            <w:pPr>
              <w:spacing w:before="0"/>
              <w:ind w:left="33"/>
              <w:rPr>
                <w:rFonts w:ascii="Times New Roman" w:hAnsi="Times New Roman"/>
                <w:b/>
                <w:sz w:val="24"/>
              </w:rPr>
            </w:pPr>
            <w:r>
              <w:rPr>
                <w:rFonts w:ascii="Times New Roman" w:hAnsi="Times New Roman"/>
                <w:sz w:val="24"/>
              </w:rPr>
              <w:t>Τα πιστωτικά ιδρύματα αναφέρουν στοιχεία ενεργητικού που είναι σύμφωνα με το άρθρο 7 του κατ’ εξουσιοδότηση κανονισμού (EE) 2015/61, αλλά δεν πληρούν τις απαιτήσεις που καθορίζονται στο άρθρο 8 του κατ’ εξουσιοδότηση κανονισμού (EE) 2015/61, υπό τον όρο ότι δεν έχουν αναφερθεί στη γραμμή 0580 για νομισματικούς λόγους.</w:t>
            </w:r>
          </w:p>
        </w:tc>
      </w:tr>
    </w:tbl>
    <w:p w14:paraId="410D89DD" w14:textId="77777777" w:rsidR="006E48EA" w:rsidRPr="000B6B22" w:rsidRDefault="006E48EA">
      <w:pPr>
        <w:spacing w:before="0"/>
        <w:rPr>
          <w:rFonts w:ascii="Times New Roman" w:hAnsi="Times New Roman"/>
          <w:sz w:val="24"/>
        </w:rPr>
      </w:pPr>
      <w:r>
        <w:br w:type="page"/>
      </w:r>
    </w:p>
    <w:p w14:paraId="3F6EB39C" w14:textId="6DBB31FE" w:rsidR="006E48EA" w:rsidRPr="000B6B22" w:rsidRDefault="006E48EA" w:rsidP="009D4EFF">
      <w:pPr>
        <w:spacing w:before="0"/>
        <w:ind w:right="1988"/>
        <w:rPr>
          <w:rFonts w:ascii="Times New Roman" w:eastAsia="Verdana" w:hAnsi="Times New Roman"/>
          <w:sz w:val="24"/>
        </w:rPr>
      </w:pPr>
      <w:r>
        <w:rPr>
          <w:rFonts w:ascii="Times New Roman" w:hAnsi="Times New Roman"/>
          <w:b/>
          <w:sz w:val="24"/>
          <w:u w:color="000000"/>
        </w:rPr>
        <w:lastRenderedPageBreak/>
        <w:t>ΜΕΡΟΣ 2. ΕΚΡΟΕΣ</w:t>
      </w:r>
    </w:p>
    <w:p w14:paraId="14ED36B9" w14:textId="5BDC31A5" w:rsidR="006E48EA" w:rsidRPr="00301219" w:rsidRDefault="006E48EA">
      <w:pPr>
        <w:pStyle w:val="Instructionsberschrift2"/>
        <w:numPr>
          <w:ilvl w:val="0"/>
          <w:numId w:val="0"/>
        </w:numPr>
        <w:spacing w:before="0" w:after="120"/>
        <w:ind w:left="357" w:hanging="357"/>
        <w:rPr>
          <w:rFonts w:ascii="Times New Roman" w:hAnsi="Times New Roman" w:cs="Times New Roman"/>
          <w:sz w:val="24"/>
          <w:u w:val="none"/>
        </w:rPr>
      </w:pPr>
      <w:r w:rsidRPr="00301219">
        <w:rPr>
          <w:rFonts w:ascii="Times New Roman" w:hAnsi="Times New Roman"/>
          <w:sz w:val="24"/>
          <w:u w:val="none"/>
        </w:rPr>
        <w:t>1.</w:t>
      </w:r>
      <w:r w:rsidRPr="00301219">
        <w:rPr>
          <w:u w:val="none"/>
        </w:rPr>
        <w:tab/>
      </w:r>
      <w:r w:rsidRPr="00301219">
        <w:rPr>
          <w:rFonts w:ascii="Times New Roman" w:hAnsi="Times New Roman"/>
          <w:sz w:val="24"/>
          <w:u w:val="none"/>
        </w:rPr>
        <w:t>Εκροές</w:t>
      </w:r>
    </w:p>
    <w:p w14:paraId="6B5922E2" w14:textId="10281299" w:rsidR="006E48EA" w:rsidRPr="00301219" w:rsidRDefault="006E48EA">
      <w:pPr>
        <w:pStyle w:val="Instructionsberschrift2"/>
        <w:numPr>
          <w:ilvl w:val="0"/>
          <w:numId w:val="0"/>
        </w:numPr>
        <w:spacing w:before="0" w:after="120"/>
        <w:ind w:left="357" w:hanging="357"/>
        <w:rPr>
          <w:rFonts w:ascii="Times New Roman" w:hAnsi="Times New Roman" w:cs="Times New Roman"/>
          <w:sz w:val="24"/>
          <w:u w:val="none"/>
        </w:rPr>
      </w:pPr>
      <w:r w:rsidRPr="00301219">
        <w:rPr>
          <w:rFonts w:ascii="Times New Roman" w:hAnsi="Times New Roman"/>
          <w:sz w:val="24"/>
          <w:u w:val="none"/>
        </w:rPr>
        <w:t>1.1.</w:t>
      </w:r>
      <w:r w:rsidRPr="00301219">
        <w:rPr>
          <w:u w:val="none"/>
        </w:rPr>
        <w:tab/>
      </w:r>
      <w:r w:rsidRPr="00301219">
        <w:rPr>
          <w:rFonts w:ascii="Times New Roman" w:hAnsi="Times New Roman"/>
          <w:sz w:val="24"/>
          <w:u w:val="none"/>
        </w:rPr>
        <w:t>Γενικές παρατηρήσεις</w:t>
      </w:r>
    </w:p>
    <w:p w14:paraId="559C2379" w14:textId="1DA73C99" w:rsidR="006E48EA" w:rsidRPr="000B6B22" w:rsidRDefault="006E48EA" w:rsidP="009D4EFF">
      <w:pPr>
        <w:widowControl w:val="0"/>
        <w:tabs>
          <w:tab w:val="left" w:pos="1397"/>
        </w:tabs>
        <w:spacing w:before="0"/>
        <w:ind w:left="1396" w:right="114" w:hanging="849"/>
        <w:rPr>
          <w:rFonts w:ascii="Times New Roman" w:eastAsia="Verdana" w:hAnsi="Times New Roman"/>
          <w:sz w:val="24"/>
        </w:rPr>
      </w:pPr>
      <w:r>
        <w:rPr>
          <w:rFonts w:ascii="Times New Roman" w:hAnsi="Times New Roman"/>
          <w:sz w:val="24"/>
        </w:rPr>
        <w:t>1.</w:t>
      </w:r>
      <w:r>
        <w:tab/>
      </w:r>
      <w:r>
        <w:rPr>
          <w:rFonts w:ascii="Times New Roman" w:hAnsi="Times New Roman"/>
          <w:sz w:val="24"/>
        </w:rPr>
        <w:t>Το παρόν είναι ένα συνοπτικό υπόδειγμα που περιέχει πληροφορίες σχετικά με τις εκροές ρευστότητας οι οποίες υπολογίζονται εντός των επόμενων 30 ημερών, με σκοπό την υποβολή αναφορών σχετικά με την απαίτηση κάλυψης ρευστότητας, όπως ορίζεται στον κατ’ εξουσιοδότηση κανονισμό (ΕΕ) 2015/61. Τα στοιχεία που δεν χρειάζεται να συμπληρωθούν από τα πιστωτικά ιδρύματα χρωματίζονται με γκρι.</w:t>
      </w:r>
    </w:p>
    <w:p w14:paraId="6209BE09" w14:textId="1C451C68" w:rsidR="006E48EA" w:rsidRPr="000B6B22" w:rsidRDefault="006E48EA" w:rsidP="009D4EFF">
      <w:pPr>
        <w:widowControl w:val="0"/>
        <w:tabs>
          <w:tab w:val="left" w:pos="1397"/>
        </w:tabs>
        <w:spacing w:before="0"/>
        <w:ind w:left="1396" w:right="118" w:hanging="849"/>
        <w:rPr>
          <w:rFonts w:ascii="Times New Roman" w:eastAsia="Verdana" w:hAnsi="Times New Roman"/>
          <w:sz w:val="24"/>
        </w:rPr>
      </w:pPr>
      <w:r>
        <w:rPr>
          <w:rFonts w:ascii="Times New Roman" w:hAnsi="Times New Roman"/>
          <w:sz w:val="24"/>
        </w:rPr>
        <w:t>2.</w:t>
      </w:r>
      <w:r>
        <w:tab/>
      </w:r>
      <w:r>
        <w:rPr>
          <w:rFonts w:ascii="Times New Roman" w:hAnsi="Times New Roman"/>
          <w:sz w:val="24"/>
        </w:rPr>
        <w:t>Τα πιστωτικά ιδρύματα υποβάλλουν το υπόδειγμα στα αντίστοιχα νομίσματα, σύμφωνα με το άρθρο 415 παράγραφος 2 του κανονισμού (ΕΕ) 575/2013.</w:t>
      </w:r>
    </w:p>
    <w:p w14:paraId="2ACC3A62" w14:textId="33CC7108" w:rsidR="006E48EA" w:rsidRPr="000B6B22" w:rsidRDefault="006E48EA" w:rsidP="009D4EFF">
      <w:pPr>
        <w:widowControl w:val="0"/>
        <w:spacing w:before="0"/>
        <w:ind w:left="1396" w:right="114" w:hanging="829"/>
        <w:rPr>
          <w:rFonts w:ascii="Times New Roman" w:eastAsia="Verdana" w:hAnsi="Times New Roman"/>
          <w:sz w:val="24"/>
        </w:rPr>
      </w:pPr>
      <w:r>
        <w:rPr>
          <w:rFonts w:ascii="Times New Roman" w:hAnsi="Times New Roman"/>
          <w:sz w:val="24"/>
        </w:rPr>
        <w:t>3.</w:t>
      </w:r>
      <w:r>
        <w:tab/>
      </w:r>
      <w:r>
        <w:rPr>
          <w:rFonts w:ascii="Times New Roman" w:hAnsi="Times New Roman"/>
          <w:sz w:val="24"/>
        </w:rPr>
        <w:t>Ορισμένα υπομνηματικά στοιχεία περιλαμβάνονται στο σχετικό υπόδειγμα αυτών των οδηγιών. Αν και δεν είναι απολύτως αναγκαία για τον υπολογισμό του ίδιου του δείκτη, πρέπει να συμπληρώνονται. Τα εν λόγω στοιχεία παρέχουν τις αναγκαίες πληροφορίες ώστε να μπορούν οι αρμόδιες αρχές να ολοκληρώνουν μια επαρκή αξιολόγηση της συμμόρφωσης των πιστωτικών ιδρυμάτων με τις απαιτήσεις ρευστότητας. Σε ορισμένες περιπτώσεις, αντιπροσωπεύουν μια πιο λεπτομερή ανάλυση των στοιχείων που περιλαμβάνονται στα κύρια τμήματα των υποδειγμάτων, ενώ σε άλλες περιπτώσεις αποτυπώνουν τις πρόσθετες πηγές ρευστότητας στις οποίες μπορούν να έχουν πρόσβαση τα πιστωτικά ιδρύματα.</w:t>
      </w:r>
    </w:p>
    <w:p w14:paraId="77E896A4" w14:textId="45190344" w:rsidR="006E48EA" w:rsidRPr="000B6B22" w:rsidRDefault="006E48EA" w:rsidP="009D4EFF">
      <w:pPr>
        <w:widowControl w:val="0"/>
        <w:tabs>
          <w:tab w:val="left" w:pos="1397"/>
        </w:tabs>
        <w:spacing w:before="0"/>
        <w:ind w:left="1396" w:right="116" w:hanging="849"/>
        <w:rPr>
          <w:rFonts w:ascii="Times New Roman" w:eastAsia="Verdana" w:hAnsi="Times New Roman"/>
          <w:sz w:val="24"/>
        </w:rPr>
      </w:pPr>
      <w:r>
        <w:rPr>
          <w:rFonts w:ascii="Times New Roman" w:hAnsi="Times New Roman"/>
          <w:sz w:val="24"/>
        </w:rPr>
        <w:t>4.</w:t>
      </w:r>
      <w:r>
        <w:tab/>
      </w:r>
      <w:r>
        <w:rPr>
          <w:rFonts w:ascii="Times New Roman" w:hAnsi="Times New Roman"/>
          <w:sz w:val="24"/>
        </w:rPr>
        <w:t>Σύμφωνα με το άρθρο 22 παράγραφος 1 του κατ’ εξουσιοδότηση κανονισμού (ΕΕ) 2015/61, οι εκροές ρευστότητας:</w:t>
      </w:r>
    </w:p>
    <w:p w14:paraId="30E81800" w14:textId="5488AFA4" w:rsidR="006E48EA" w:rsidRPr="000B6B22" w:rsidRDefault="006E48EA" w:rsidP="009D4EFF">
      <w:pPr>
        <w:widowControl w:val="0"/>
        <w:tabs>
          <w:tab w:val="left" w:pos="2530"/>
        </w:tabs>
        <w:spacing w:before="0"/>
        <w:ind w:left="2529" w:right="115" w:hanging="681"/>
        <w:rPr>
          <w:rFonts w:ascii="Times New Roman" w:eastAsia="Verdana" w:hAnsi="Times New Roman"/>
          <w:sz w:val="24"/>
        </w:rPr>
      </w:pPr>
      <w:r>
        <w:rPr>
          <w:rFonts w:ascii="Times New Roman" w:hAnsi="Times New Roman"/>
          <w:sz w:val="24"/>
        </w:rPr>
        <w:t>i.</w:t>
      </w:r>
      <w:r>
        <w:tab/>
      </w:r>
      <w:r>
        <w:rPr>
          <w:rFonts w:ascii="Times New Roman" w:hAnsi="Times New Roman"/>
          <w:sz w:val="24"/>
        </w:rPr>
        <w:t>περιλαμβάνουν τις κατηγορίες που αναφέρονται στο άρθρο 22 παράγραφος 2 του κατ’ εξουσιοδότηση κανονισμού (ΕΕ) 2015/61</w:t>
      </w:r>
    </w:p>
    <w:p w14:paraId="52ED8CBE" w14:textId="1AC6F794" w:rsidR="006E48EA" w:rsidRPr="000B6B22" w:rsidRDefault="006E48EA" w:rsidP="009D4EFF">
      <w:pPr>
        <w:widowControl w:val="0"/>
        <w:tabs>
          <w:tab w:val="left" w:pos="2530"/>
        </w:tabs>
        <w:spacing w:before="0"/>
        <w:ind w:left="2529" w:right="113" w:hanging="732"/>
        <w:rPr>
          <w:rFonts w:ascii="Times New Roman" w:eastAsia="Verdana" w:hAnsi="Times New Roman"/>
          <w:sz w:val="24"/>
        </w:rPr>
      </w:pPr>
      <w:r>
        <w:rPr>
          <w:rFonts w:ascii="Times New Roman" w:hAnsi="Times New Roman"/>
          <w:sz w:val="24"/>
        </w:rPr>
        <w:t>ii.</w:t>
      </w:r>
      <w:r>
        <w:tab/>
      </w:r>
      <w:r>
        <w:rPr>
          <w:rFonts w:ascii="Times New Roman" w:hAnsi="Times New Roman"/>
          <w:sz w:val="24"/>
        </w:rPr>
        <w:t>υπολογίζονται πολλαπλασιάζοντας τα εκκρεμή υπόλοιπα των διαφόρων κατηγοριών ή τύπων υποχρεώσεων και εκτός ισολογισμού δεσμεύσεων με τα ποσοστά με τα οποία αναμένεται να καταστούν απαιτητές ή να εκταμιευθούν, όπως αναφέρεται στον κατ’ εξουσιοδότηση κανονισμό (ΕΕ) 2015/61.</w:t>
      </w:r>
    </w:p>
    <w:p w14:paraId="7E3D3F91" w14:textId="5E14A9CD" w:rsidR="006E48EA" w:rsidRPr="000B6B22" w:rsidRDefault="006E48EA" w:rsidP="009D4EFF">
      <w:pPr>
        <w:widowControl w:val="0"/>
        <w:tabs>
          <w:tab w:val="left" w:pos="1397"/>
        </w:tabs>
        <w:spacing w:before="0"/>
        <w:ind w:left="1396" w:right="115" w:hanging="849"/>
        <w:rPr>
          <w:rFonts w:ascii="Times New Roman" w:eastAsia="Verdana" w:hAnsi="Times New Roman"/>
          <w:sz w:val="24"/>
        </w:rPr>
      </w:pPr>
      <w:r>
        <w:rPr>
          <w:rFonts w:ascii="Times New Roman" w:hAnsi="Times New Roman"/>
          <w:sz w:val="24"/>
        </w:rPr>
        <w:t>5.</w:t>
      </w:r>
      <w:r>
        <w:tab/>
      </w:r>
      <w:r>
        <w:rPr>
          <w:rFonts w:ascii="Times New Roman" w:hAnsi="Times New Roman"/>
          <w:sz w:val="24"/>
        </w:rPr>
        <w:t>Ο κατ’ εξουσιοδότηση κανονισμός (ΕΕ) 2015/61 αναφέρεται μόνο σε συντελεστές και σε ποσοστά περικοπής, και ο όρος «συντελεστής στάθμισης» αναφέρεται μόνο σε αυτούς. Στις παρούσες οδηγίες η λέξη «σταθμισμένο» χρησιμοποιείται ως γενικός όρος για να δηλώσει το ποσό που προκύπτει μετά την εφαρμογή των σχετικών ποσοστών περικοπής, συντελεστών και τυχόν άλλων πρόσθετων σχετικών οδηγιών (στην περίπτωση π.χ. εξασφαλισμένων πιστοδοτήσεων και χρηματοδότησης).</w:t>
      </w:r>
    </w:p>
    <w:p w14:paraId="0EBCA91F" w14:textId="59C310C9" w:rsidR="006E48EA" w:rsidRPr="000B6B22" w:rsidRDefault="006E48EA" w:rsidP="009D4EFF">
      <w:pPr>
        <w:widowControl w:val="0"/>
        <w:tabs>
          <w:tab w:val="left" w:pos="1397"/>
        </w:tabs>
        <w:spacing w:before="0"/>
        <w:ind w:left="1396" w:right="113" w:hanging="849"/>
        <w:rPr>
          <w:rFonts w:ascii="Times New Roman" w:eastAsia="Verdana" w:hAnsi="Times New Roman"/>
          <w:sz w:val="24"/>
        </w:rPr>
      </w:pPr>
      <w:r>
        <w:rPr>
          <w:rFonts w:ascii="Times New Roman" w:hAnsi="Times New Roman"/>
          <w:sz w:val="24"/>
        </w:rPr>
        <w:t>6.</w:t>
      </w:r>
      <w:r>
        <w:tab/>
      </w:r>
      <w:r>
        <w:rPr>
          <w:rFonts w:ascii="Times New Roman" w:hAnsi="Times New Roman"/>
          <w:sz w:val="24"/>
        </w:rPr>
        <w:t xml:space="preserve">Οι εκροές εντός ομίλου ή θεσμικού συστήματος προστασίας (εκτός από τις εκροές από μη αναληφθείσες πιστωτικές ή ταμειακές διευκολύνσεις που παρέχονται από τα μέλη ομίλου ή θεσμικού συστήματος </w:t>
      </w:r>
      <w:r>
        <w:rPr>
          <w:rFonts w:ascii="Times New Roman" w:hAnsi="Times New Roman"/>
          <w:sz w:val="24"/>
        </w:rPr>
        <w:lastRenderedPageBreak/>
        <w:t>προστασίας, όταν η αρμόδια αρχή έχει επιτρέψει την εφαρμογή προνομιακού ποσοστού εκροής και εκροές από λειτουργικές καταθέσεις που διατηρούνται στο πλαίσιο θεσμικού συστήματος προστασίας ή συνεταιριστικού δικτύου) αναφέρονται στις σχετικές κατηγορίες. Οι εν λόγω εκροές αναφέρονται επίσης χωριστά ως υπομνηματικά στοιχεία.</w:t>
      </w:r>
    </w:p>
    <w:p w14:paraId="76B0BF15" w14:textId="34AA8642" w:rsidR="006E48EA" w:rsidRPr="000B6B22" w:rsidRDefault="006E48EA" w:rsidP="009D4EFF">
      <w:pPr>
        <w:widowControl w:val="0"/>
        <w:spacing w:before="0"/>
        <w:ind w:left="1376" w:right="116" w:hanging="809"/>
        <w:rPr>
          <w:rFonts w:ascii="Times New Roman" w:eastAsia="Verdana" w:hAnsi="Times New Roman"/>
          <w:sz w:val="24"/>
        </w:rPr>
      </w:pPr>
      <w:r>
        <w:rPr>
          <w:rFonts w:ascii="Times New Roman" w:hAnsi="Times New Roman"/>
          <w:sz w:val="24"/>
        </w:rPr>
        <w:t>7.</w:t>
      </w:r>
      <w:r>
        <w:tab/>
      </w:r>
      <w:r>
        <w:rPr>
          <w:rFonts w:ascii="Times New Roman" w:hAnsi="Times New Roman"/>
          <w:sz w:val="24"/>
        </w:rPr>
        <w:t xml:space="preserve">Οι εκροές ρευστότητας δηλώνονται μόνο μία φορά στο υπόδειγμα, εκτός εάν πρέπει να εφαρμοστούν πρόσθετες εκροές σύμφωνα με το άρθρο 30 του κατ’ εξουσιοδότηση κανονισμού (ΕΕ) 2015/61 της Επιτροπής ή όταν το στοιχείο είναι στοιχείο «εκ των οποίων» ή υπομνηματικό στοιχείο. </w:t>
      </w:r>
    </w:p>
    <w:p w14:paraId="759F8B00" w14:textId="0A11D0D4" w:rsidR="006E48EA" w:rsidRPr="000B6B22" w:rsidRDefault="006E48EA" w:rsidP="009D4EFF">
      <w:pPr>
        <w:widowControl w:val="0"/>
        <w:tabs>
          <w:tab w:val="left" w:pos="1377"/>
        </w:tabs>
        <w:spacing w:before="0"/>
        <w:ind w:left="1376" w:hanging="849"/>
        <w:rPr>
          <w:rFonts w:ascii="Times New Roman" w:eastAsia="Verdana" w:hAnsi="Times New Roman"/>
          <w:sz w:val="24"/>
        </w:rPr>
      </w:pPr>
      <w:r>
        <w:rPr>
          <w:rFonts w:ascii="Times New Roman" w:hAnsi="Times New Roman"/>
          <w:sz w:val="24"/>
        </w:rPr>
        <w:t>8.</w:t>
      </w:r>
      <w:r>
        <w:tab/>
      </w:r>
      <w:r>
        <w:rPr>
          <w:rFonts w:ascii="Times New Roman" w:hAnsi="Times New Roman"/>
          <w:sz w:val="24"/>
        </w:rPr>
        <w:t>Σε περίπτωση χωριστής υποβολής αναφορών σύμφωνα με τα όσα αναφέρονται στο άρθρο 415 παράγραφος 2 του κανονισμού (ΕΕ) αριθ. 575/2013, ισχύουν πάντοτε τα ακόλουθα:</w:t>
      </w:r>
    </w:p>
    <w:p w14:paraId="04A4814E" w14:textId="77777777" w:rsidR="006E48EA" w:rsidRPr="000B6B22" w:rsidRDefault="006E48EA" w:rsidP="009D4EFF">
      <w:pPr>
        <w:widowControl w:val="0"/>
        <w:tabs>
          <w:tab w:val="left" w:pos="1737"/>
        </w:tabs>
        <w:spacing w:before="0"/>
        <w:ind w:left="1736" w:hanging="360"/>
        <w:rPr>
          <w:rFonts w:ascii="Times New Roman" w:eastAsia="Verdana" w:hAnsi="Times New Roman"/>
          <w:sz w:val="24"/>
        </w:rPr>
      </w:pPr>
      <w:r>
        <w:rPr>
          <w:rFonts w:ascii="Times New Roman" w:hAnsi="Times New Roman"/>
          <w:sz w:val="24"/>
        </w:rPr>
        <w:t></w:t>
      </w:r>
      <w:r>
        <w:tab/>
      </w:r>
      <w:r>
        <w:rPr>
          <w:rFonts w:ascii="Times New Roman" w:hAnsi="Times New Roman"/>
          <w:sz w:val="24"/>
          <w:u w:color="000000"/>
        </w:rPr>
        <w:t>αναφέρονται μόνον τα στοιχεία και οι ροές που εκφράζονται στο εν λόγω νόμισμα·</w:t>
      </w:r>
    </w:p>
    <w:p w14:paraId="36013C04" w14:textId="77777777" w:rsidR="006E48EA" w:rsidRPr="000B6B22" w:rsidRDefault="006E48EA" w:rsidP="009D4EFF">
      <w:pPr>
        <w:widowControl w:val="0"/>
        <w:tabs>
          <w:tab w:val="left" w:pos="1737"/>
        </w:tabs>
        <w:spacing w:before="0"/>
        <w:ind w:left="1736" w:right="116" w:hanging="360"/>
        <w:rPr>
          <w:rFonts w:ascii="Times New Roman" w:eastAsia="Verdana" w:hAnsi="Times New Roman"/>
          <w:sz w:val="24"/>
        </w:rPr>
      </w:pPr>
      <w:r>
        <w:rPr>
          <w:rFonts w:ascii="Times New Roman" w:hAnsi="Times New Roman"/>
          <w:sz w:val="24"/>
        </w:rPr>
        <w:t></w:t>
      </w:r>
      <w:r>
        <w:tab/>
      </w:r>
      <w:r>
        <w:rPr>
          <w:rFonts w:ascii="Times New Roman" w:hAnsi="Times New Roman"/>
          <w:sz w:val="24"/>
          <w:u w:color="000000"/>
        </w:rPr>
        <w:t>σε περίπτωση αναντιστοιχίας νομισμάτων μεταξύ σκελών μιας συναλλαγής, αναφέρεται μόνο το σκέλος στο εν λόγω νόμισμα·</w:t>
      </w:r>
    </w:p>
    <w:p w14:paraId="68684582" w14:textId="51842861" w:rsidR="006E48EA" w:rsidRPr="000B6B22" w:rsidRDefault="006E48EA" w:rsidP="009D4EFF">
      <w:pPr>
        <w:widowControl w:val="0"/>
        <w:tabs>
          <w:tab w:val="left" w:pos="1737"/>
        </w:tabs>
        <w:spacing w:before="0"/>
        <w:ind w:left="1736" w:right="116" w:hanging="360"/>
        <w:rPr>
          <w:rFonts w:ascii="Times New Roman" w:eastAsia="Verdana" w:hAnsi="Times New Roman"/>
          <w:sz w:val="24"/>
        </w:rPr>
      </w:pPr>
      <w:r>
        <w:rPr>
          <w:rFonts w:ascii="Times New Roman" w:hAnsi="Times New Roman"/>
          <w:sz w:val="24"/>
        </w:rPr>
        <w:t></w:t>
      </w:r>
      <w:r>
        <w:tab/>
      </w:r>
      <w:r>
        <w:rPr>
          <w:rFonts w:ascii="Times New Roman" w:hAnsi="Times New Roman"/>
          <w:sz w:val="24"/>
          <w:u w:color="000000"/>
        </w:rPr>
        <w:t>όταν ο κατ’ εξουσιοδότηση κανονισμός (ΕΕ) 2015/61 επιτρέπει τον συμψηφισμό, αυτός μπορεί να εφαρμοστεί μόνο στις ροές στο εν λόγω νόμισμα·</w:t>
      </w:r>
    </w:p>
    <w:p w14:paraId="033F8730" w14:textId="69CD1D84" w:rsidR="006E48EA" w:rsidRPr="000B6B22" w:rsidRDefault="006E48EA" w:rsidP="009D4EFF">
      <w:pPr>
        <w:widowControl w:val="0"/>
        <w:tabs>
          <w:tab w:val="left" w:pos="1737"/>
        </w:tabs>
        <w:spacing w:before="0"/>
        <w:ind w:left="1736" w:right="119"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όταν μια ροή έχει δυνατότητα επιλογής νομισμάτων, το πιστωτικό ίδρυμα αξιολογεί το νόμισμα στο οποίο είναι πιθανό να πραγματοποιηθεί η ροή και αναφέρει το στοιχείο μόνο σε αυτό το χωριστό νόμισμα.</w:t>
      </w:r>
    </w:p>
    <w:p w14:paraId="3731F2B0" w14:textId="12CB8C9C" w:rsidR="006E48EA" w:rsidRPr="000B6B22" w:rsidRDefault="006E48EA" w:rsidP="009D4EFF">
      <w:pPr>
        <w:widowControl w:val="0"/>
        <w:tabs>
          <w:tab w:val="left" w:pos="1377"/>
        </w:tabs>
        <w:spacing w:before="0"/>
        <w:ind w:left="1376" w:right="115" w:hanging="849"/>
        <w:rPr>
          <w:rFonts w:ascii="Times New Roman" w:eastAsia="Verdana" w:hAnsi="Times New Roman"/>
          <w:sz w:val="24"/>
        </w:rPr>
      </w:pPr>
      <w:r>
        <w:rPr>
          <w:rFonts w:ascii="Times New Roman" w:hAnsi="Times New Roman"/>
          <w:sz w:val="24"/>
        </w:rPr>
        <w:t>9.</w:t>
      </w:r>
      <w:r>
        <w:tab/>
      </w:r>
      <w:r>
        <w:rPr>
          <w:rFonts w:ascii="Times New Roman" w:hAnsi="Times New Roman"/>
          <w:sz w:val="24"/>
        </w:rPr>
        <w:t>Οι πάγιοι συντελεστές στάθμισης στη στήλη 0040 του υποδείγματος C 73.00 του παραρτήματος XXIV είναι εκείνοι που καθορίζονται στον κατ’ εξουσιοδότηση κανονισμό (ΕΕ) 2015/61 εξ ορισμού και αναφέρονται εδώ προς ενημέρωση.</w:t>
      </w:r>
    </w:p>
    <w:p w14:paraId="123810E6" w14:textId="25DE07FA" w:rsidR="006E48EA" w:rsidRPr="000B6B22" w:rsidRDefault="006E48EA" w:rsidP="009D4EFF">
      <w:pPr>
        <w:widowControl w:val="0"/>
        <w:tabs>
          <w:tab w:val="left" w:pos="1377"/>
        </w:tabs>
        <w:spacing w:before="0"/>
        <w:ind w:left="1376" w:right="113" w:hanging="849"/>
        <w:rPr>
          <w:rFonts w:ascii="Times New Roman" w:eastAsia="Verdana" w:hAnsi="Times New Roman"/>
          <w:sz w:val="24"/>
        </w:rPr>
      </w:pPr>
      <w:r>
        <w:rPr>
          <w:rFonts w:ascii="Times New Roman" w:hAnsi="Times New Roman"/>
          <w:sz w:val="24"/>
        </w:rPr>
        <w:t>10.</w:t>
      </w:r>
      <w:r>
        <w:tab/>
      </w:r>
      <w:r>
        <w:rPr>
          <w:rFonts w:ascii="Times New Roman" w:hAnsi="Times New Roman"/>
          <w:sz w:val="24"/>
        </w:rPr>
        <w:t>Το υπόδειγμα περιέχει στοιχεία σχετικά με τις εξασφαλισμένες ροές ρευστότητας, που αναφέρονται ως «εξασφαλισμένες πιστοδοτήσεις και συναλλαγές με όρους κεφαλαιαγοράς» στον κατ’ εξουσιοδότηση κανονισμό (ΕΕ) 2015/61, καθώς και για τον υπολογισμό του ΔΚΡ όπως ορίζεται στον εν λόγω κανονισμό. Όταν οι εν λόγω συναλλαγές πραγματοποιούνται έναντι ομάδας εξασφαλίσεων, ο προσδιορισμός των συγκεκριμένων στοιχείων ενεργητικού που έχουν ενεχυριαστεί για τους σκοπούς της υποβολής αναφορών στο παρόν υπόδειγμα πραγματοποιείται, σύμφωνα με τις κατηγορίες ρευστών στοιχείων ενεργητικού που ορίζονται στον τίτλο II, κεφάλαιο 2 του κατ’ εξουσιοδότηση κανονισμού (ΕΕ) 2015/61, με αφετηρία τα ελάχιστα ρευστά στοιχεία ενεργητικού. Ταυτόχρονα, στην περίπτωση συναλλαγών με διαφορετικές εναπομένουσες ληκτότητες που πραγματοποιούνται έναντι μιας ομάδας εξασφαλίσεων, τα στοιχεία ενεργητικού με μικρότερη δυνατότητα ρευστοποίησης αποδίδονται πρώτα στις συναλλαγές με τη μεγαλύτερη εναπομένουσα ληκτότητα.</w:t>
      </w:r>
    </w:p>
    <w:p w14:paraId="0BED1290" w14:textId="413E3E76" w:rsidR="006E48EA" w:rsidRPr="000B6B22" w:rsidRDefault="006E48EA" w:rsidP="009D4EFF">
      <w:pPr>
        <w:widowControl w:val="0"/>
        <w:spacing w:before="0"/>
        <w:ind w:left="1396" w:right="116" w:hanging="850"/>
        <w:rPr>
          <w:rFonts w:ascii="Times New Roman" w:eastAsia="Verdana" w:hAnsi="Times New Roman"/>
          <w:sz w:val="24"/>
        </w:rPr>
      </w:pPr>
      <w:r>
        <w:rPr>
          <w:rFonts w:ascii="Times New Roman" w:hAnsi="Times New Roman"/>
          <w:sz w:val="24"/>
        </w:rPr>
        <w:t>11.</w:t>
      </w:r>
      <w:r>
        <w:tab/>
      </w:r>
      <w:r>
        <w:rPr>
          <w:rFonts w:ascii="Times New Roman" w:hAnsi="Times New Roman"/>
          <w:sz w:val="24"/>
        </w:rPr>
        <w:t xml:space="preserve">Παρέχεται χωριστό υπόδειγμα για πράξεις ανταλλαγής εξασφαλίσεων, το C 75.01 του παραρτήματος XXIV. Οι πράξεις ανταλλαγής </w:t>
      </w:r>
      <w:r>
        <w:rPr>
          <w:rFonts w:ascii="Times New Roman" w:hAnsi="Times New Roman"/>
          <w:sz w:val="24"/>
        </w:rPr>
        <w:lastRenderedPageBreak/>
        <w:t>εξασφαλίσεων, οι οποίες είναι πράξεις εξασφαλίσεων έναντι εξασφαλίσεων, δεν δηλώνονται στο υπόδειγμα εκροών C 73.00 του παραρτήματος XXIV, το οποίο καλύπτει μόνο πράξεις ρευστών διαθεσίμων έναντι εξασφαλίσεων.</w:t>
      </w:r>
    </w:p>
    <w:p w14:paraId="20EDCAF9" w14:textId="3BF31C3F" w:rsidR="006E48EA" w:rsidRPr="00301219" w:rsidRDefault="006E48E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1.2.</w:t>
      </w:r>
      <w:r w:rsidRPr="00301219">
        <w:rPr>
          <w:u w:val="none"/>
        </w:rPr>
        <w:tab/>
      </w:r>
      <w:r w:rsidRPr="00301219">
        <w:rPr>
          <w:rFonts w:ascii="Times New Roman" w:hAnsi="Times New Roman"/>
          <w:sz w:val="24"/>
          <w:u w:val="none"/>
        </w:rPr>
        <w:t>Ειδικές παρατηρήσεις όσον αφορά τον διακανονισμό και τις προθεσμιακές πράξεις</w:t>
      </w:r>
    </w:p>
    <w:p w14:paraId="5D906FD2" w14:textId="6CD4CA45" w:rsidR="006E48EA" w:rsidRPr="000B6B22" w:rsidRDefault="006E48EA" w:rsidP="009D4EFF">
      <w:pPr>
        <w:widowControl w:val="0"/>
        <w:spacing w:before="0"/>
        <w:ind w:left="1376" w:right="114" w:hanging="850"/>
        <w:rPr>
          <w:rFonts w:ascii="Times New Roman" w:eastAsia="Calibri" w:hAnsi="Times New Roman"/>
          <w:sz w:val="24"/>
        </w:rPr>
      </w:pPr>
      <w:r>
        <w:rPr>
          <w:rFonts w:ascii="Times New Roman" w:hAnsi="Times New Roman"/>
          <w:sz w:val="24"/>
        </w:rPr>
        <w:t>12.</w:t>
      </w:r>
      <w:r>
        <w:tab/>
      </w:r>
      <w:r>
        <w:rPr>
          <w:rFonts w:ascii="Times New Roman" w:hAnsi="Times New Roman"/>
          <w:sz w:val="24"/>
        </w:rPr>
        <w:t>Τα πιστωτικά ιδρύματα αναφέρουν τις εκροές που προέρχονται από προθεσμιακές συμφωνίες επαναγοράς, συναλλαγές αγοράς με συμφωνία επαναπώλησης και πράξεις ανταλλαγής εξασφαλίσεων που αρχίζουν εντός του χρονικού ορίζοντα των 30 ημερών και λήγουν πέραν του ορίζοντα των 30 ημερών, όταν το αρχικό σκέλος ενέχει εκροή. Στην περίπτωση αγοράς με συμφωνία επαναπώλησης, το ποσό του δανείου στον αντισυμβαλλόμενο θεωρείται εκροή και αναφέρεται στο σημείο 1.1.8.6, αφού αφαιρεθεί η αγοραία αξία του στοιχείου που θα ληφθεί ως εξασφάλιση και μετά την εφαρμογή του ποσοστού περικοπής του ΔΚΡ, εάν το στοιχείο ενεργητικού θεωρείται ρευστό στοιχείο ενεργητικού. Εάν το προς δανειοδότηση ποσό είναι χαμηλότερο από την αγοραία αξία του στοιχείου ενεργητικού (μετά την περικοπή του ΔΚΡ) που λαμβάνεται ως εξασφάλιση, η διαφορά αναφέρεται ως εισροή. Εάν η ληπτέα εξασφάλιση δεν μπορεί να χαρακτηρισθεί ως ρευστό στοιχείο ενεργητικού, αναφέρεται η εκροή πλήρως. Στην περίπτωση συμφωνίας επαναγοράς, όταν η αγοραία αξία του στοιχείου ενεργητικού που παρέχεται ως ασφάλεια μετά την εφαρμογή του ποσοστού περικοπής του ΔΚΡ (εάν το στοιχείο θεωρείται ρευστό στοιχείο ενεργητικού) είναι μεγαλύτερη από το ληπτέο ποσό σε μετρητά, η διαφορά πρέπει να αναφέρεται ως εκροή στην προαναφερθείσα γραμμή. Εάν το εισπρακτέο ποσό είναι μεγαλύτερο από την αγοραία αξία του στοιχείου ενεργητικού (μετά την περικοπή του ΔΚΡ) που παρέχεται ως εξασφάλιση, η διαφορά αναφέρεται ως εισροή. Για πράξεις ανταλλαγής εξασφαλίσεων, όταν το καθαρό αποτέλεσμα της αρχικής ανταλλαγής των ρευστών στοιχείων ενεργητικού (λαμβάνοντας υπόψη τα ποσοστά περικοπής του ΔΚΡ) συνεπάγεται εκροή, η εν λόγω εκροή αναφέρεται στην ανωτέρω γραμμή.</w:t>
      </w:r>
    </w:p>
    <w:p w14:paraId="091EC26E" w14:textId="3A60A065" w:rsidR="006E48EA" w:rsidRPr="000B6B22" w:rsidRDefault="006E48EA" w:rsidP="009D4EFF">
      <w:pPr>
        <w:spacing w:before="0"/>
        <w:ind w:left="1376" w:right="114"/>
        <w:rPr>
          <w:rFonts w:ascii="Times New Roman" w:eastAsia="Calibri" w:hAnsi="Times New Roman"/>
          <w:sz w:val="24"/>
        </w:rPr>
      </w:pPr>
      <w:r>
        <w:rPr>
          <w:rFonts w:ascii="Times New Roman" w:hAnsi="Times New Roman"/>
          <w:sz w:val="24"/>
        </w:rPr>
        <w:t>Προθεσμιακές συμφωνίες επαναγοράς, προθεσμιακές συναλλαγές αγοράς με συμφωνία επαναπώλησης και προθεσμιακές πράξεις ανταλλαγής εξασφαλίσεων που αρχίζουν και λήγουν εντός του χρονικού ορίζοντα 30 ημερών του ΔΚΡ δεν έχουν καμία επίπτωση στον ΔΚΡ της τράπεζας και μπορεί να μη ληφθούν υπόψη.</w:t>
      </w:r>
    </w:p>
    <w:p w14:paraId="537D6E48" w14:textId="496BE22D" w:rsidR="00F553D3" w:rsidRPr="000B6B22" w:rsidRDefault="006E48EA" w:rsidP="009D4EFF">
      <w:pPr>
        <w:widowControl w:val="0"/>
        <w:spacing w:before="0"/>
        <w:ind w:left="1376" w:right="114" w:hanging="850"/>
        <w:rPr>
          <w:rFonts w:ascii="Times New Roman" w:eastAsia="Calibri" w:hAnsi="Times New Roman"/>
          <w:sz w:val="24"/>
        </w:rPr>
      </w:pPr>
      <w:r>
        <w:rPr>
          <w:rFonts w:ascii="Times New Roman" w:hAnsi="Times New Roman"/>
          <w:sz w:val="24"/>
        </w:rPr>
        <w:t>13.</w:t>
      </w:r>
      <w:r>
        <w:tab/>
      </w:r>
      <w:r>
        <w:rPr>
          <w:rFonts w:ascii="Times New Roman" w:hAnsi="Times New Roman"/>
          <w:sz w:val="24"/>
        </w:rPr>
        <w:t xml:space="preserve">Διάγραμμα αποφάσεων για το τμήμα 1 του υποδείγματος C 73.00 του παραρτήματος XXIV· το διάγραμμα αποφάσεων τελεί υπό την επιφύλαξη της υποβολής υπομνηματικών στοιχείων. Το διάγραμμα αποφάσεων αποτελεί μέρος των οδηγιών για τον προσδιορισμό κριτηρίων αξιολόγησης της ιεράρχησης για την κατάταξη κάθε αναφερόμενου στοιχείου σε κατηγορίες προκειμένου να εξασφαλισθεί η υποβολή ομοιογενών και συγκρίσιμων αναφορών. Δεν αρκεί μόνον η τήρηση του διαγράμματος αποφάσεων· τα πιστωτικά ιδρύματα οφείλουν να συμμορφώνονται πάντοτε και με τις λοιπές οδηγίες. Για λόγους απλούστευσης, το διάγραμμα αποφάσεων δεν λαμβάνει υπόψη </w:t>
      </w:r>
      <w:r>
        <w:rPr>
          <w:rFonts w:ascii="Times New Roman" w:hAnsi="Times New Roman"/>
          <w:sz w:val="24"/>
        </w:rPr>
        <w:lastRenderedPageBreak/>
        <w:t>τα σύνολα και τα υποσύνολα· ωστόσο, αυτό δεν σημαίνει ότι δεν πρέπει να αναφέρονται και αυτά τα στοιχεία. Ο ΚΕΚ αναφέρεται στον κατ’ εξουσιοδότηση κανονισμό (ΕΕ) 2015/61.</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B47B7D" w:rsidRPr="000B6B22" w14:paraId="5E3EDA1F" w14:textId="77777777" w:rsidTr="0059273D">
        <w:tc>
          <w:tcPr>
            <w:tcW w:w="529" w:type="dxa"/>
            <w:shd w:val="clear" w:color="auto" w:fill="auto"/>
            <w:vAlign w:val="center"/>
          </w:tcPr>
          <w:p w14:paraId="60988F15"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b/>
                <w:sz w:val="24"/>
              </w:rPr>
              <w:t>#</w:t>
            </w:r>
          </w:p>
        </w:tc>
        <w:tc>
          <w:tcPr>
            <w:tcW w:w="5550" w:type="dxa"/>
            <w:shd w:val="clear" w:color="auto" w:fill="auto"/>
            <w:vAlign w:val="center"/>
          </w:tcPr>
          <w:p w14:paraId="57B60AE5" w14:textId="77777777" w:rsidR="008D2CDE" w:rsidRPr="000B6B22" w:rsidRDefault="008D2CDE" w:rsidP="009D4EFF">
            <w:pPr>
              <w:pStyle w:val="TableParagraph"/>
              <w:spacing w:after="120"/>
              <w:ind w:left="141"/>
              <w:jc w:val="both"/>
              <w:rPr>
                <w:rFonts w:ascii="Times New Roman" w:eastAsia="Times New Roman" w:hAnsi="Times New Roman"/>
                <w:sz w:val="24"/>
                <w:szCs w:val="24"/>
              </w:rPr>
            </w:pPr>
            <w:r>
              <w:rPr>
                <w:rFonts w:ascii="Times New Roman" w:hAnsi="Times New Roman"/>
                <w:b/>
                <w:sz w:val="24"/>
              </w:rPr>
              <w:t>Στοιχείο</w:t>
            </w:r>
          </w:p>
        </w:tc>
        <w:tc>
          <w:tcPr>
            <w:tcW w:w="1305" w:type="dxa"/>
            <w:shd w:val="clear" w:color="auto" w:fill="auto"/>
            <w:vAlign w:val="center"/>
          </w:tcPr>
          <w:p w14:paraId="7DCCCD1A" w14:textId="77777777" w:rsidR="008D2CDE" w:rsidRPr="000B6B22" w:rsidRDefault="008D2CDE" w:rsidP="009D4EFF">
            <w:pPr>
              <w:pStyle w:val="TableParagraph"/>
              <w:spacing w:after="120"/>
              <w:ind w:left="267"/>
              <w:jc w:val="both"/>
              <w:rPr>
                <w:rFonts w:ascii="Times New Roman" w:eastAsia="Times New Roman" w:hAnsi="Times New Roman"/>
                <w:sz w:val="24"/>
                <w:szCs w:val="24"/>
              </w:rPr>
            </w:pPr>
            <w:r>
              <w:rPr>
                <w:rFonts w:ascii="Times New Roman" w:hAnsi="Times New Roman"/>
                <w:b/>
                <w:sz w:val="24"/>
              </w:rPr>
              <w:t>Απόφαση</w:t>
            </w:r>
          </w:p>
        </w:tc>
        <w:tc>
          <w:tcPr>
            <w:tcW w:w="2222" w:type="dxa"/>
            <w:shd w:val="clear" w:color="auto" w:fill="auto"/>
            <w:vAlign w:val="center"/>
          </w:tcPr>
          <w:p w14:paraId="34E55D73" w14:textId="77777777" w:rsidR="008D2CDE" w:rsidRPr="000B6B22" w:rsidRDefault="008D2CDE" w:rsidP="009D4EFF">
            <w:pPr>
              <w:pStyle w:val="TableParagraph"/>
              <w:spacing w:after="120"/>
              <w:ind w:left="284"/>
              <w:jc w:val="both"/>
              <w:rPr>
                <w:rFonts w:ascii="Times New Roman" w:eastAsia="Times New Roman" w:hAnsi="Times New Roman"/>
                <w:sz w:val="24"/>
                <w:szCs w:val="24"/>
              </w:rPr>
            </w:pPr>
            <w:r>
              <w:rPr>
                <w:rFonts w:ascii="Times New Roman" w:hAnsi="Times New Roman"/>
                <w:b/>
                <w:sz w:val="24"/>
              </w:rPr>
              <w:t>Υποβολή αναφοράς</w:t>
            </w:r>
          </w:p>
        </w:tc>
      </w:tr>
      <w:tr w:rsidR="00B47B7D" w:rsidRPr="000B6B22" w14:paraId="3E7866E4" w14:textId="77777777" w:rsidTr="0059273D">
        <w:tc>
          <w:tcPr>
            <w:tcW w:w="529" w:type="dxa"/>
            <w:vMerge w:val="restart"/>
            <w:shd w:val="clear" w:color="auto" w:fill="auto"/>
            <w:vAlign w:val="center"/>
          </w:tcPr>
          <w:p w14:paraId="2C42ACD5"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1</w:t>
            </w:r>
          </w:p>
        </w:tc>
        <w:tc>
          <w:tcPr>
            <w:tcW w:w="5550" w:type="dxa"/>
            <w:vMerge w:val="restart"/>
            <w:shd w:val="clear" w:color="auto" w:fill="auto"/>
            <w:vAlign w:val="center"/>
          </w:tcPr>
          <w:p w14:paraId="14ED2B7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Αρχική προθεσμιακή πράξη</w:t>
            </w:r>
          </w:p>
        </w:tc>
        <w:tc>
          <w:tcPr>
            <w:tcW w:w="1305" w:type="dxa"/>
            <w:shd w:val="clear" w:color="auto" w:fill="auto"/>
            <w:vAlign w:val="center"/>
          </w:tcPr>
          <w:p w14:paraId="69AA3885"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Ναι</w:t>
            </w:r>
          </w:p>
        </w:tc>
        <w:tc>
          <w:tcPr>
            <w:tcW w:w="2222" w:type="dxa"/>
            <w:shd w:val="clear" w:color="auto" w:fill="auto"/>
            <w:vAlign w:val="center"/>
          </w:tcPr>
          <w:p w14:paraId="4247258D" w14:textId="77777777"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rPr>
              <w:t># 2</w:t>
            </w:r>
          </w:p>
        </w:tc>
      </w:tr>
      <w:tr w:rsidR="00B47B7D" w:rsidRPr="000B6B22" w14:paraId="2183C2C7" w14:textId="77777777" w:rsidTr="0059273D">
        <w:tc>
          <w:tcPr>
            <w:tcW w:w="529" w:type="dxa"/>
            <w:vMerge/>
            <w:shd w:val="clear" w:color="auto" w:fill="auto"/>
            <w:vAlign w:val="center"/>
          </w:tcPr>
          <w:p w14:paraId="2C101C6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11EAAF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09239E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Όχι</w:t>
            </w:r>
          </w:p>
        </w:tc>
        <w:tc>
          <w:tcPr>
            <w:tcW w:w="2222" w:type="dxa"/>
            <w:shd w:val="clear" w:color="auto" w:fill="auto"/>
            <w:vAlign w:val="center"/>
          </w:tcPr>
          <w:p w14:paraId="54C4EB4D" w14:textId="77777777"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rPr>
              <w:t># 4</w:t>
            </w:r>
          </w:p>
        </w:tc>
      </w:tr>
      <w:tr w:rsidR="00B47B7D" w:rsidRPr="000B6B22" w14:paraId="3FE559CC" w14:textId="77777777" w:rsidTr="0059273D">
        <w:tc>
          <w:tcPr>
            <w:tcW w:w="529" w:type="dxa"/>
            <w:vMerge w:val="restart"/>
            <w:shd w:val="clear" w:color="auto" w:fill="auto"/>
            <w:vAlign w:val="center"/>
          </w:tcPr>
          <w:p w14:paraId="56D40756"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2</w:t>
            </w:r>
          </w:p>
        </w:tc>
        <w:tc>
          <w:tcPr>
            <w:tcW w:w="5550" w:type="dxa"/>
            <w:vMerge w:val="restart"/>
            <w:shd w:val="clear" w:color="auto" w:fill="auto"/>
            <w:vAlign w:val="center"/>
          </w:tcPr>
          <w:p w14:paraId="1F2A4D2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Προθεσμιακή πράξη που πραγματοποιήθηκε μετά την ημερομηνία αναφοράς·</w:t>
            </w:r>
          </w:p>
        </w:tc>
        <w:tc>
          <w:tcPr>
            <w:tcW w:w="1305" w:type="dxa"/>
            <w:shd w:val="clear" w:color="auto" w:fill="auto"/>
            <w:vAlign w:val="center"/>
          </w:tcPr>
          <w:p w14:paraId="34DF9682"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Ναι</w:t>
            </w:r>
          </w:p>
        </w:tc>
        <w:tc>
          <w:tcPr>
            <w:tcW w:w="2222" w:type="dxa"/>
            <w:shd w:val="clear" w:color="auto" w:fill="auto"/>
            <w:vAlign w:val="center"/>
          </w:tcPr>
          <w:p w14:paraId="009DC6EE"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b/>
                <w:sz w:val="24"/>
              </w:rPr>
              <w:t>Να μην αναφερθεί</w:t>
            </w:r>
          </w:p>
        </w:tc>
      </w:tr>
      <w:tr w:rsidR="00B47B7D" w:rsidRPr="000B6B22" w14:paraId="4009CAFB" w14:textId="77777777" w:rsidTr="0059273D">
        <w:tc>
          <w:tcPr>
            <w:tcW w:w="529" w:type="dxa"/>
            <w:vMerge/>
            <w:shd w:val="clear" w:color="auto" w:fill="auto"/>
            <w:vAlign w:val="center"/>
          </w:tcPr>
          <w:p w14:paraId="5CB2CFEF"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2DFED8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3A8F902"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rPr>
              <w:t>Όχι</w:t>
            </w:r>
          </w:p>
        </w:tc>
        <w:tc>
          <w:tcPr>
            <w:tcW w:w="2222" w:type="dxa"/>
            <w:shd w:val="clear" w:color="auto" w:fill="auto"/>
            <w:vAlign w:val="center"/>
          </w:tcPr>
          <w:p w14:paraId="3465CA2C" w14:textId="77777777" w:rsidR="008D2CDE" w:rsidRPr="000B6B22" w:rsidRDefault="008D2CDE" w:rsidP="009D4EFF">
            <w:pPr>
              <w:pStyle w:val="TableParagraph"/>
              <w:spacing w:after="120"/>
              <w:ind w:left="137"/>
              <w:jc w:val="both"/>
              <w:rPr>
                <w:rFonts w:ascii="Times New Roman" w:hAnsi="Times New Roman"/>
                <w:sz w:val="24"/>
                <w:szCs w:val="24"/>
              </w:rPr>
            </w:pPr>
            <w:r>
              <w:rPr>
                <w:rFonts w:ascii="Times New Roman" w:hAnsi="Times New Roman"/>
                <w:sz w:val="24"/>
              </w:rPr>
              <w:t># 3</w:t>
            </w:r>
          </w:p>
        </w:tc>
      </w:tr>
      <w:tr w:rsidR="00B47B7D" w:rsidRPr="000B6B22" w14:paraId="0B4B2C63" w14:textId="77777777" w:rsidTr="0059273D">
        <w:tc>
          <w:tcPr>
            <w:tcW w:w="529" w:type="dxa"/>
            <w:vMerge w:val="restart"/>
            <w:shd w:val="clear" w:color="auto" w:fill="auto"/>
            <w:vAlign w:val="center"/>
          </w:tcPr>
          <w:p w14:paraId="52BCE695"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3</w:t>
            </w:r>
          </w:p>
        </w:tc>
        <w:tc>
          <w:tcPr>
            <w:tcW w:w="5550" w:type="dxa"/>
            <w:vMerge w:val="restart"/>
            <w:shd w:val="clear" w:color="auto" w:fill="auto"/>
            <w:vAlign w:val="center"/>
          </w:tcPr>
          <w:p w14:paraId="33E6D572"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Προθεσμιακή πράξη που αρχίζει εντός του χρονικού ορίζοντα των 30 ημερών και λήγει μετά τον ορίζοντα των 30 ημερών, όταν το αρχικό σκέλος παράγει καθαρή εκροή</w:t>
            </w:r>
          </w:p>
        </w:tc>
        <w:tc>
          <w:tcPr>
            <w:tcW w:w="1305" w:type="dxa"/>
            <w:shd w:val="clear" w:color="auto" w:fill="auto"/>
            <w:vAlign w:val="center"/>
          </w:tcPr>
          <w:p w14:paraId="39973EC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Ναι</w:t>
            </w:r>
          </w:p>
        </w:tc>
        <w:tc>
          <w:tcPr>
            <w:tcW w:w="2222" w:type="dxa"/>
            <w:shd w:val="clear" w:color="auto" w:fill="auto"/>
            <w:vAlign w:val="center"/>
          </w:tcPr>
          <w:p w14:paraId="7A50DD6A"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sz w:val="24"/>
              </w:rPr>
              <w:t xml:space="preserve"> ID 1.1.8.6</w:t>
            </w:r>
          </w:p>
        </w:tc>
      </w:tr>
      <w:tr w:rsidR="00B47B7D" w:rsidRPr="000B6B22" w14:paraId="7D596EA7" w14:textId="77777777" w:rsidTr="0059273D">
        <w:tc>
          <w:tcPr>
            <w:tcW w:w="529" w:type="dxa"/>
            <w:vMerge/>
            <w:shd w:val="clear" w:color="auto" w:fill="auto"/>
            <w:vAlign w:val="center"/>
          </w:tcPr>
          <w:p w14:paraId="5DF295A0"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E62F5C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57C17F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Όχι</w:t>
            </w:r>
          </w:p>
        </w:tc>
        <w:tc>
          <w:tcPr>
            <w:tcW w:w="2222" w:type="dxa"/>
            <w:shd w:val="clear" w:color="auto" w:fill="auto"/>
            <w:vAlign w:val="center"/>
          </w:tcPr>
          <w:p w14:paraId="34B0CA9B"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b/>
                <w:sz w:val="24"/>
              </w:rPr>
              <w:t>Να μην αναφερθεί</w:t>
            </w:r>
            <w:r>
              <w:rPr>
                <w:rFonts w:ascii="Times New Roman" w:hAnsi="Times New Roman"/>
                <w:sz w:val="24"/>
              </w:rPr>
              <w:t xml:space="preserve"> </w:t>
            </w:r>
          </w:p>
        </w:tc>
      </w:tr>
      <w:tr w:rsidR="00B47B7D" w:rsidRPr="000B6B22" w14:paraId="3CB325D6" w14:textId="77777777" w:rsidTr="0059273D">
        <w:tc>
          <w:tcPr>
            <w:tcW w:w="529" w:type="dxa"/>
            <w:vMerge w:val="restart"/>
            <w:shd w:val="clear" w:color="auto" w:fill="auto"/>
            <w:vAlign w:val="center"/>
          </w:tcPr>
          <w:p w14:paraId="6AF6EE68"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4</w:t>
            </w:r>
          </w:p>
        </w:tc>
        <w:tc>
          <w:tcPr>
            <w:tcW w:w="5550" w:type="dxa"/>
            <w:vMerge w:val="restart"/>
            <w:shd w:val="clear" w:color="auto" w:fill="auto"/>
            <w:vAlign w:val="center"/>
          </w:tcPr>
          <w:p w14:paraId="1E2501CC"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Στοιχείο που απαιτεί πρόσθετες εκροές σύμφωνα με το άρθρο 30 του ΚΕΚ;</w:t>
            </w:r>
          </w:p>
        </w:tc>
        <w:tc>
          <w:tcPr>
            <w:tcW w:w="1305" w:type="dxa"/>
            <w:shd w:val="clear" w:color="auto" w:fill="auto"/>
            <w:vAlign w:val="center"/>
          </w:tcPr>
          <w:p w14:paraId="0CC2A5E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Ναι</w:t>
            </w:r>
          </w:p>
        </w:tc>
        <w:tc>
          <w:tcPr>
            <w:tcW w:w="2222" w:type="dxa"/>
            <w:shd w:val="clear" w:color="auto" w:fill="auto"/>
            <w:vAlign w:val="center"/>
          </w:tcPr>
          <w:p w14:paraId="2262A07A" w14:textId="12CEC874" w:rsidR="008D2CDE" w:rsidRPr="000B6B22" w:rsidRDefault="008D2CDE" w:rsidP="009D4EFF">
            <w:pPr>
              <w:pStyle w:val="TableParagraph"/>
              <w:spacing w:after="120"/>
              <w:ind w:left="253" w:right="114" w:hanging="3"/>
              <w:jc w:val="both"/>
              <w:rPr>
                <w:rFonts w:ascii="Times New Roman" w:eastAsia="Times New Roman" w:hAnsi="Times New Roman"/>
                <w:sz w:val="24"/>
                <w:szCs w:val="24"/>
              </w:rPr>
            </w:pPr>
            <w:r>
              <w:rPr>
                <w:rFonts w:ascii="Times New Roman" w:hAnsi="Times New Roman"/>
                <w:sz w:val="24"/>
              </w:rPr>
              <w:t># 5 και συνακόλουθα # 51</w:t>
            </w:r>
          </w:p>
        </w:tc>
      </w:tr>
      <w:tr w:rsidR="00B47B7D" w:rsidRPr="000B6B22" w14:paraId="2DC58654" w14:textId="77777777" w:rsidTr="0059273D">
        <w:tc>
          <w:tcPr>
            <w:tcW w:w="529" w:type="dxa"/>
            <w:vMerge/>
            <w:shd w:val="clear" w:color="auto" w:fill="auto"/>
            <w:vAlign w:val="center"/>
          </w:tcPr>
          <w:p w14:paraId="3FBF617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C0A6965"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67A21C2"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Όχι</w:t>
            </w:r>
          </w:p>
        </w:tc>
        <w:tc>
          <w:tcPr>
            <w:tcW w:w="2222" w:type="dxa"/>
            <w:shd w:val="clear" w:color="auto" w:fill="auto"/>
            <w:vAlign w:val="center"/>
          </w:tcPr>
          <w:p w14:paraId="366DCFB1" w14:textId="77777777" w:rsidR="008D2CDE" w:rsidRPr="000B6B22" w:rsidRDefault="008D2CDE" w:rsidP="009D4EFF">
            <w:pPr>
              <w:pStyle w:val="TableParagraph"/>
              <w:spacing w:after="120"/>
              <w:ind w:left="136"/>
              <w:jc w:val="both"/>
              <w:rPr>
                <w:rFonts w:ascii="Times New Roman" w:eastAsia="Times New Roman" w:hAnsi="Times New Roman"/>
                <w:sz w:val="24"/>
                <w:szCs w:val="24"/>
              </w:rPr>
            </w:pPr>
            <w:r>
              <w:rPr>
                <w:rFonts w:ascii="Times New Roman" w:hAnsi="Times New Roman"/>
                <w:sz w:val="24"/>
              </w:rPr>
              <w:t># 5</w:t>
            </w:r>
          </w:p>
        </w:tc>
      </w:tr>
      <w:tr w:rsidR="00B47B7D" w:rsidRPr="000B6B22" w14:paraId="2A25A56E" w14:textId="77777777" w:rsidTr="0059273D">
        <w:tc>
          <w:tcPr>
            <w:tcW w:w="529" w:type="dxa"/>
            <w:vMerge w:val="restart"/>
            <w:shd w:val="clear" w:color="auto" w:fill="auto"/>
            <w:vAlign w:val="center"/>
          </w:tcPr>
          <w:p w14:paraId="57DA1F39" w14:textId="21ECD3A6"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5</w:t>
            </w:r>
          </w:p>
        </w:tc>
        <w:tc>
          <w:tcPr>
            <w:tcW w:w="5550" w:type="dxa"/>
            <w:vMerge w:val="restart"/>
            <w:shd w:val="clear" w:color="auto" w:fill="auto"/>
            <w:vAlign w:val="center"/>
          </w:tcPr>
          <w:p w14:paraId="65ECB4E2" w14:textId="7472AFC8"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Καταθέσεις λιανικής σύμφωνα με το άρθρο 411 παράγραφος 2 του κανονισμού (ΕΕ) 575/2013;</w:t>
            </w:r>
          </w:p>
        </w:tc>
        <w:tc>
          <w:tcPr>
            <w:tcW w:w="1305" w:type="dxa"/>
            <w:shd w:val="clear" w:color="auto" w:fill="auto"/>
            <w:vAlign w:val="center"/>
          </w:tcPr>
          <w:p w14:paraId="44E4208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Ναι</w:t>
            </w:r>
          </w:p>
        </w:tc>
        <w:tc>
          <w:tcPr>
            <w:tcW w:w="2222" w:type="dxa"/>
            <w:shd w:val="clear" w:color="auto" w:fill="auto"/>
            <w:vAlign w:val="center"/>
          </w:tcPr>
          <w:p w14:paraId="7EC01655" w14:textId="6ECE7B4C"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rPr>
              <w:t># 6</w:t>
            </w:r>
          </w:p>
        </w:tc>
      </w:tr>
      <w:tr w:rsidR="00B47B7D" w:rsidRPr="000B6B22" w14:paraId="687B8682" w14:textId="77777777" w:rsidTr="0059273D">
        <w:tc>
          <w:tcPr>
            <w:tcW w:w="529" w:type="dxa"/>
            <w:vMerge/>
            <w:shd w:val="clear" w:color="auto" w:fill="auto"/>
            <w:vAlign w:val="center"/>
          </w:tcPr>
          <w:p w14:paraId="01482BD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8C626B4"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4C79431"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Όχι</w:t>
            </w:r>
          </w:p>
        </w:tc>
        <w:tc>
          <w:tcPr>
            <w:tcW w:w="2222" w:type="dxa"/>
            <w:shd w:val="clear" w:color="auto" w:fill="auto"/>
            <w:vAlign w:val="center"/>
          </w:tcPr>
          <w:p w14:paraId="278D0813" w14:textId="025D055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12</w:t>
            </w:r>
          </w:p>
        </w:tc>
      </w:tr>
      <w:tr w:rsidR="00B47B7D" w:rsidRPr="000B6B22" w14:paraId="6CBCEDE7" w14:textId="77777777" w:rsidTr="0059273D">
        <w:tc>
          <w:tcPr>
            <w:tcW w:w="529" w:type="dxa"/>
            <w:vMerge w:val="restart"/>
            <w:shd w:val="clear" w:color="auto" w:fill="auto"/>
            <w:vAlign w:val="center"/>
          </w:tcPr>
          <w:p w14:paraId="65E41F9C" w14:textId="45A21E9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6</w:t>
            </w:r>
          </w:p>
        </w:tc>
        <w:tc>
          <w:tcPr>
            <w:tcW w:w="5550" w:type="dxa"/>
            <w:vMerge w:val="restart"/>
            <w:shd w:val="clear" w:color="auto" w:fill="auto"/>
            <w:vAlign w:val="center"/>
          </w:tcPr>
          <w:p w14:paraId="7B9DA392" w14:textId="24BA8139" w:rsidR="008D2CDE" w:rsidRPr="000B6B22" w:rsidRDefault="00312695" w:rsidP="009D4EFF">
            <w:pPr>
              <w:pStyle w:val="TableParagraph"/>
              <w:spacing w:after="120"/>
              <w:ind w:left="243" w:right="100"/>
              <w:jc w:val="both"/>
              <w:rPr>
                <w:rFonts w:ascii="Times New Roman" w:eastAsia="Times New Roman" w:hAnsi="Times New Roman"/>
                <w:sz w:val="24"/>
                <w:szCs w:val="24"/>
              </w:rPr>
            </w:pPr>
            <w:r>
              <w:rPr>
                <w:rFonts w:ascii="Times New Roman" w:hAnsi="Times New Roman"/>
                <w:sz w:val="24"/>
              </w:rPr>
              <w:t>Ακυρώσεις καταθέσεων με εναπομένουσα διάρκεια μικρότερη των 30 ημερολογιακών ημερών και εφόσον έχει συμφωνηθεί να γίνει αποπληρωμή σε άλλο πιστωτικό ίδρυμα;</w:t>
            </w:r>
          </w:p>
        </w:tc>
        <w:tc>
          <w:tcPr>
            <w:tcW w:w="1305" w:type="dxa"/>
            <w:shd w:val="clear" w:color="auto" w:fill="auto"/>
            <w:vAlign w:val="center"/>
          </w:tcPr>
          <w:p w14:paraId="69991A9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Ναι</w:t>
            </w:r>
          </w:p>
        </w:tc>
        <w:tc>
          <w:tcPr>
            <w:tcW w:w="2222" w:type="dxa"/>
            <w:shd w:val="clear" w:color="auto" w:fill="auto"/>
            <w:vAlign w:val="center"/>
          </w:tcPr>
          <w:p w14:paraId="319CF056"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ID 1.1.1.2</w:t>
            </w:r>
          </w:p>
        </w:tc>
      </w:tr>
      <w:tr w:rsidR="00B47B7D" w:rsidRPr="000B6B22" w14:paraId="5F560D9E" w14:textId="77777777" w:rsidTr="0059273D">
        <w:tc>
          <w:tcPr>
            <w:tcW w:w="529" w:type="dxa"/>
            <w:vMerge/>
            <w:shd w:val="clear" w:color="auto" w:fill="auto"/>
            <w:vAlign w:val="center"/>
          </w:tcPr>
          <w:p w14:paraId="26FFAEE1"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9E4C03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7AF971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Όχι</w:t>
            </w:r>
          </w:p>
        </w:tc>
        <w:tc>
          <w:tcPr>
            <w:tcW w:w="2222" w:type="dxa"/>
            <w:shd w:val="clear" w:color="auto" w:fill="auto"/>
            <w:vAlign w:val="center"/>
          </w:tcPr>
          <w:p w14:paraId="4644FACB" w14:textId="77777777"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rPr>
              <w:t># 7</w:t>
            </w:r>
          </w:p>
        </w:tc>
      </w:tr>
      <w:tr w:rsidR="00B47B7D" w:rsidRPr="000B6B22" w14:paraId="5DA7A89C" w14:textId="77777777" w:rsidTr="0059273D">
        <w:tc>
          <w:tcPr>
            <w:tcW w:w="529" w:type="dxa"/>
            <w:vMerge w:val="restart"/>
            <w:shd w:val="clear" w:color="auto" w:fill="auto"/>
            <w:vAlign w:val="center"/>
          </w:tcPr>
          <w:p w14:paraId="0355585E"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7</w:t>
            </w:r>
          </w:p>
        </w:tc>
        <w:tc>
          <w:tcPr>
            <w:tcW w:w="5550" w:type="dxa"/>
            <w:vMerge w:val="restart"/>
            <w:shd w:val="clear" w:color="auto" w:fill="auto"/>
            <w:vAlign w:val="center"/>
          </w:tcPr>
          <w:p w14:paraId="7C2BCC30"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Κατάθεση σύμφωνα με το άρθρο 25 παράγραφος 4 του ΚΕΚ;</w:t>
            </w:r>
          </w:p>
        </w:tc>
        <w:tc>
          <w:tcPr>
            <w:tcW w:w="1305" w:type="dxa"/>
            <w:shd w:val="clear" w:color="auto" w:fill="auto"/>
            <w:vAlign w:val="center"/>
          </w:tcPr>
          <w:p w14:paraId="37453691"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Ναι</w:t>
            </w:r>
          </w:p>
        </w:tc>
        <w:tc>
          <w:tcPr>
            <w:tcW w:w="2222" w:type="dxa"/>
            <w:shd w:val="clear" w:color="auto" w:fill="auto"/>
            <w:vAlign w:val="center"/>
          </w:tcPr>
          <w:p w14:paraId="754B1D15" w14:textId="77777777" w:rsidR="008D2CDE" w:rsidRPr="000B6B22" w:rsidRDefault="008D2CDE" w:rsidP="009D4EFF">
            <w:pPr>
              <w:pStyle w:val="TableParagraph"/>
              <w:spacing w:after="120"/>
              <w:ind w:left="414" w:right="244" w:hanging="34"/>
              <w:jc w:val="both"/>
              <w:rPr>
                <w:rFonts w:ascii="Times New Roman" w:eastAsia="Times New Roman" w:hAnsi="Times New Roman"/>
                <w:sz w:val="24"/>
                <w:szCs w:val="24"/>
              </w:rPr>
            </w:pPr>
            <w:r>
              <w:rPr>
                <w:rFonts w:ascii="Times New Roman" w:hAnsi="Times New Roman"/>
                <w:sz w:val="24"/>
              </w:rPr>
              <w:t>ID 1.1.1.1</w:t>
            </w:r>
          </w:p>
        </w:tc>
      </w:tr>
      <w:tr w:rsidR="00B47B7D" w:rsidRPr="000B6B22" w14:paraId="269B8AF7" w14:textId="77777777" w:rsidTr="0059273D">
        <w:tc>
          <w:tcPr>
            <w:tcW w:w="529" w:type="dxa"/>
            <w:vMerge/>
            <w:shd w:val="clear" w:color="auto" w:fill="auto"/>
            <w:vAlign w:val="center"/>
          </w:tcPr>
          <w:p w14:paraId="03FC5DCA"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3A6BE31"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EDB0CE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Όχι</w:t>
            </w:r>
          </w:p>
        </w:tc>
        <w:tc>
          <w:tcPr>
            <w:tcW w:w="2222" w:type="dxa"/>
            <w:shd w:val="clear" w:color="auto" w:fill="auto"/>
            <w:vAlign w:val="center"/>
          </w:tcPr>
          <w:p w14:paraId="248BE9F8" w14:textId="77777777" w:rsidR="008D2CDE" w:rsidRPr="000B6B22" w:rsidRDefault="008D2CDE" w:rsidP="009D4EFF">
            <w:pPr>
              <w:pStyle w:val="TableParagraph"/>
              <w:spacing w:after="120"/>
              <w:ind w:left="136"/>
              <w:jc w:val="both"/>
              <w:rPr>
                <w:rFonts w:ascii="Times New Roman" w:eastAsia="Times New Roman" w:hAnsi="Times New Roman"/>
                <w:sz w:val="24"/>
                <w:szCs w:val="24"/>
              </w:rPr>
            </w:pPr>
            <w:r>
              <w:rPr>
                <w:rFonts w:ascii="Times New Roman" w:hAnsi="Times New Roman"/>
                <w:sz w:val="24"/>
              </w:rPr>
              <w:t># 8</w:t>
            </w:r>
          </w:p>
        </w:tc>
      </w:tr>
      <w:tr w:rsidR="00B47B7D" w:rsidRPr="000B6B22" w14:paraId="4D3053C4" w14:textId="77777777" w:rsidTr="0059273D">
        <w:tc>
          <w:tcPr>
            <w:tcW w:w="529" w:type="dxa"/>
            <w:vMerge w:val="restart"/>
            <w:shd w:val="clear" w:color="auto" w:fill="auto"/>
            <w:vAlign w:val="center"/>
          </w:tcPr>
          <w:p w14:paraId="382EDE3A"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8</w:t>
            </w:r>
          </w:p>
        </w:tc>
        <w:tc>
          <w:tcPr>
            <w:tcW w:w="5550" w:type="dxa"/>
            <w:vMerge w:val="restart"/>
            <w:shd w:val="clear" w:color="auto" w:fill="auto"/>
            <w:vAlign w:val="center"/>
          </w:tcPr>
          <w:p w14:paraId="79102F42" w14:textId="777C4DBD"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Κατάθεση σύμφωνα με το άρθρο 25 παράγραφος 5 του ΚΕΚ;</w:t>
            </w:r>
          </w:p>
        </w:tc>
        <w:tc>
          <w:tcPr>
            <w:tcW w:w="1305" w:type="dxa"/>
            <w:shd w:val="clear" w:color="auto" w:fill="auto"/>
            <w:vAlign w:val="center"/>
          </w:tcPr>
          <w:p w14:paraId="7CF1EF2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Ναι</w:t>
            </w:r>
          </w:p>
        </w:tc>
        <w:tc>
          <w:tcPr>
            <w:tcW w:w="2222" w:type="dxa"/>
            <w:shd w:val="clear" w:color="auto" w:fill="auto"/>
            <w:vAlign w:val="center"/>
          </w:tcPr>
          <w:p w14:paraId="6870DF38" w14:textId="76BF360E"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ID 1.1.1.6</w:t>
            </w:r>
          </w:p>
        </w:tc>
      </w:tr>
      <w:tr w:rsidR="00B47B7D" w:rsidRPr="000B6B22" w14:paraId="22E9A251" w14:textId="77777777" w:rsidTr="0059273D">
        <w:tc>
          <w:tcPr>
            <w:tcW w:w="529" w:type="dxa"/>
            <w:vMerge/>
            <w:shd w:val="clear" w:color="auto" w:fill="auto"/>
            <w:vAlign w:val="center"/>
          </w:tcPr>
          <w:p w14:paraId="520A59AC"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721F02A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AB5EBCE"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Όχι</w:t>
            </w:r>
          </w:p>
        </w:tc>
        <w:tc>
          <w:tcPr>
            <w:tcW w:w="2222" w:type="dxa"/>
            <w:shd w:val="clear" w:color="auto" w:fill="auto"/>
            <w:vAlign w:val="center"/>
          </w:tcPr>
          <w:p w14:paraId="20241295" w14:textId="77777777" w:rsidR="008D2CDE" w:rsidRPr="000B6B22" w:rsidRDefault="008D2CDE" w:rsidP="009D4EFF">
            <w:pPr>
              <w:pStyle w:val="TableParagraph"/>
              <w:spacing w:after="120"/>
              <w:ind w:left="136"/>
              <w:jc w:val="both"/>
              <w:rPr>
                <w:rFonts w:ascii="Times New Roman" w:eastAsia="Times New Roman" w:hAnsi="Times New Roman"/>
                <w:sz w:val="24"/>
                <w:szCs w:val="24"/>
              </w:rPr>
            </w:pPr>
            <w:r>
              <w:rPr>
                <w:rFonts w:ascii="Times New Roman" w:hAnsi="Times New Roman"/>
                <w:sz w:val="24"/>
              </w:rPr>
              <w:t># 9</w:t>
            </w:r>
          </w:p>
        </w:tc>
      </w:tr>
      <w:tr w:rsidR="00B47B7D" w:rsidRPr="000B6B22" w14:paraId="19F3DDA4" w14:textId="77777777" w:rsidTr="0059273D">
        <w:tc>
          <w:tcPr>
            <w:tcW w:w="529" w:type="dxa"/>
            <w:vMerge w:val="restart"/>
            <w:shd w:val="clear" w:color="auto" w:fill="auto"/>
            <w:vAlign w:val="center"/>
          </w:tcPr>
          <w:p w14:paraId="7804BC23"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9</w:t>
            </w:r>
          </w:p>
        </w:tc>
        <w:tc>
          <w:tcPr>
            <w:tcW w:w="5550" w:type="dxa"/>
            <w:vMerge w:val="restart"/>
            <w:shd w:val="clear" w:color="auto" w:fill="auto"/>
            <w:vAlign w:val="center"/>
          </w:tcPr>
          <w:p w14:paraId="68B28C30" w14:textId="2089B498"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Κατάθεση σύμφωνα με το άρθρο 25 παράγραφος 2 του ΚΕΚ;</w:t>
            </w:r>
          </w:p>
        </w:tc>
        <w:tc>
          <w:tcPr>
            <w:tcW w:w="1305" w:type="dxa"/>
            <w:shd w:val="clear" w:color="auto" w:fill="auto"/>
            <w:vAlign w:val="center"/>
          </w:tcPr>
          <w:p w14:paraId="24B908D9"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Ναι</w:t>
            </w:r>
          </w:p>
        </w:tc>
        <w:tc>
          <w:tcPr>
            <w:tcW w:w="2222" w:type="dxa"/>
            <w:shd w:val="clear" w:color="auto" w:fill="auto"/>
            <w:vAlign w:val="center"/>
          </w:tcPr>
          <w:p w14:paraId="69952686" w14:textId="5DE1E849" w:rsidR="008D2CDE" w:rsidRPr="000B6B22" w:rsidRDefault="008D2CDE" w:rsidP="009D4EFF">
            <w:pPr>
              <w:pStyle w:val="TableParagraph"/>
              <w:spacing w:after="120"/>
              <w:ind w:left="258" w:right="121"/>
              <w:jc w:val="both"/>
              <w:rPr>
                <w:rFonts w:ascii="Times New Roman" w:eastAsia="Times New Roman" w:hAnsi="Times New Roman"/>
                <w:sz w:val="24"/>
                <w:szCs w:val="24"/>
              </w:rPr>
            </w:pPr>
            <w:r>
              <w:rPr>
                <w:rFonts w:ascii="Times New Roman" w:hAnsi="Times New Roman"/>
                <w:sz w:val="24"/>
              </w:rPr>
              <w:t>Κατάταξη σε ένα σχετικό στοιχείο του ID 1.1.1.3</w:t>
            </w:r>
          </w:p>
        </w:tc>
      </w:tr>
      <w:tr w:rsidR="00B47B7D" w:rsidRPr="000B6B22" w14:paraId="4A68ACC8" w14:textId="77777777" w:rsidTr="0059273D">
        <w:tc>
          <w:tcPr>
            <w:tcW w:w="529" w:type="dxa"/>
            <w:vMerge/>
            <w:shd w:val="clear" w:color="auto" w:fill="auto"/>
            <w:vAlign w:val="center"/>
          </w:tcPr>
          <w:p w14:paraId="3B8A92D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E2F95F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2994BD3"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Όχι</w:t>
            </w:r>
          </w:p>
        </w:tc>
        <w:tc>
          <w:tcPr>
            <w:tcW w:w="2222" w:type="dxa"/>
            <w:shd w:val="clear" w:color="auto" w:fill="auto"/>
            <w:vAlign w:val="center"/>
          </w:tcPr>
          <w:p w14:paraId="1DFE9361"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10</w:t>
            </w:r>
          </w:p>
        </w:tc>
      </w:tr>
      <w:tr w:rsidR="00B47B7D" w:rsidRPr="000B6B22" w14:paraId="0E2D891B" w14:textId="77777777" w:rsidTr="0059273D">
        <w:tc>
          <w:tcPr>
            <w:tcW w:w="529" w:type="dxa"/>
            <w:vMerge w:val="restart"/>
            <w:shd w:val="clear" w:color="auto" w:fill="auto"/>
            <w:vAlign w:val="center"/>
          </w:tcPr>
          <w:p w14:paraId="2CB94581"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10</w:t>
            </w:r>
          </w:p>
        </w:tc>
        <w:tc>
          <w:tcPr>
            <w:tcW w:w="5550" w:type="dxa"/>
            <w:vMerge w:val="restart"/>
            <w:shd w:val="clear" w:color="auto" w:fill="auto"/>
            <w:vAlign w:val="center"/>
          </w:tcPr>
          <w:p w14:paraId="5AAC3F54" w14:textId="3E9913C8"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Κατάθεση σύμφωνα με το άρθρο 24 παράγραφος 4 του ΚΕΚ;</w:t>
            </w:r>
          </w:p>
        </w:tc>
        <w:tc>
          <w:tcPr>
            <w:tcW w:w="1305" w:type="dxa"/>
            <w:shd w:val="clear" w:color="auto" w:fill="auto"/>
            <w:vAlign w:val="center"/>
          </w:tcPr>
          <w:p w14:paraId="1D064EB6"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Ναι</w:t>
            </w:r>
          </w:p>
        </w:tc>
        <w:tc>
          <w:tcPr>
            <w:tcW w:w="2222" w:type="dxa"/>
            <w:shd w:val="clear" w:color="auto" w:fill="auto"/>
            <w:vAlign w:val="center"/>
          </w:tcPr>
          <w:p w14:paraId="160663C0" w14:textId="2C6FBF08" w:rsidR="008D2CDE" w:rsidRPr="000B6B22" w:rsidRDefault="008D2CDE" w:rsidP="009D4EFF">
            <w:pPr>
              <w:pStyle w:val="TableParagraph"/>
              <w:spacing w:after="120"/>
              <w:ind w:left="284"/>
              <w:jc w:val="both"/>
              <w:rPr>
                <w:rFonts w:ascii="Times New Roman" w:eastAsia="Times New Roman" w:hAnsi="Times New Roman"/>
                <w:sz w:val="24"/>
                <w:szCs w:val="24"/>
              </w:rPr>
            </w:pPr>
            <w:r>
              <w:rPr>
                <w:rFonts w:ascii="Times New Roman" w:hAnsi="Times New Roman"/>
                <w:sz w:val="24"/>
              </w:rPr>
              <w:t>ID 1.1.1.5</w:t>
            </w:r>
          </w:p>
        </w:tc>
      </w:tr>
      <w:tr w:rsidR="00B47B7D" w:rsidRPr="000B6B22" w14:paraId="41AA1510" w14:textId="77777777" w:rsidTr="0059273D">
        <w:tc>
          <w:tcPr>
            <w:tcW w:w="529" w:type="dxa"/>
            <w:vMerge/>
            <w:shd w:val="clear" w:color="auto" w:fill="auto"/>
            <w:vAlign w:val="center"/>
          </w:tcPr>
          <w:p w14:paraId="28092F25"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3625AB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F3DC6E9"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Όχι</w:t>
            </w:r>
          </w:p>
        </w:tc>
        <w:tc>
          <w:tcPr>
            <w:tcW w:w="2222" w:type="dxa"/>
            <w:shd w:val="clear" w:color="auto" w:fill="auto"/>
            <w:vAlign w:val="center"/>
          </w:tcPr>
          <w:p w14:paraId="3004C298" w14:textId="56006B40"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11</w:t>
            </w:r>
          </w:p>
        </w:tc>
      </w:tr>
      <w:tr w:rsidR="00B47B7D" w:rsidRPr="000B6B22" w14:paraId="26F31D74" w14:textId="77777777" w:rsidTr="0059273D">
        <w:tc>
          <w:tcPr>
            <w:tcW w:w="529" w:type="dxa"/>
            <w:vMerge w:val="restart"/>
            <w:shd w:val="clear" w:color="auto" w:fill="auto"/>
            <w:vAlign w:val="center"/>
          </w:tcPr>
          <w:p w14:paraId="34F6EA78" w14:textId="691F4BD1"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11</w:t>
            </w:r>
          </w:p>
        </w:tc>
        <w:tc>
          <w:tcPr>
            <w:tcW w:w="5550" w:type="dxa"/>
            <w:vMerge w:val="restart"/>
            <w:shd w:val="clear" w:color="auto" w:fill="auto"/>
            <w:vAlign w:val="center"/>
          </w:tcPr>
          <w:p w14:paraId="7F8DC765"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Κατάθεση σύμφωνα με το άρθρο 24 παράγραφος 1 του ΚΕΚ;</w:t>
            </w:r>
          </w:p>
        </w:tc>
        <w:tc>
          <w:tcPr>
            <w:tcW w:w="1305" w:type="dxa"/>
            <w:shd w:val="clear" w:color="auto" w:fill="auto"/>
            <w:vAlign w:val="center"/>
          </w:tcPr>
          <w:p w14:paraId="7D276AA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Ναι</w:t>
            </w:r>
          </w:p>
        </w:tc>
        <w:tc>
          <w:tcPr>
            <w:tcW w:w="2222" w:type="dxa"/>
            <w:shd w:val="clear" w:color="auto" w:fill="auto"/>
            <w:vAlign w:val="center"/>
          </w:tcPr>
          <w:p w14:paraId="6C34216C"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ID 1.1.1.4</w:t>
            </w:r>
          </w:p>
        </w:tc>
      </w:tr>
      <w:tr w:rsidR="00B47B7D" w:rsidRPr="000B6B22" w14:paraId="1BFAEAC7" w14:textId="77777777" w:rsidTr="0059273D">
        <w:tc>
          <w:tcPr>
            <w:tcW w:w="529" w:type="dxa"/>
            <w:vMerge/>
            <w:shd w:val="clear" w:color="auto" w:fill="auto"/>
            <w:vAlign w:val="center"/>
          </w:tcPr>
          <w:p w14:paraId="57BDB04C"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321468D"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E9C5B2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Όχι</w:t>
            </w:r>
          </w:p>
        </w:tc>
        <w:tc>
          <w:tcPr>
            <w:tcW w:w="2222" w:type="dxa"/>
            <w:shd w:val="clear" w:color="auto" w:fill="auto"/>
            <w:vAlign w:val="center"/>
          </w:tcPr>
          <w:p w14:paraId="5F60B48A"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ID 1.1.1.7</w:t>
            </w:r>
          </w:p>
        </w:tc>
      </w:tr>
      <w:tr w:rsidR="00B47B7D" w:rsidRPr="000B6B22" w14:paraId="1FCD1806" w14:textId="77777777" w:rsidTr="0059273D">
        <w:tc>
          <w:tcPr>
            <w:tcW w:w="529" w:type="dxa"/>
            <w:vMerge w:val="restart"/>
            <w:shd w:val="clear" w:color="auto" w:fill="auto"/>
            <w:vAlign w:val="center"/>
          </w:tcPr>
          <w:p w14:paraId="040D8334" w14:textId="70AC7B65"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12</w:t>
            </w:r>
          </w:p>
        </w:tc>
        <w:tc>
          <w:tcPr>
            <w:tcW w:w="5550" w:type="dxa"/>
            <w:vMerge w:val="restart"/>
            <w:shd w:val="clear" w:color="auto" w:fill="auto"/>
            <w:vAlign w:val="center"/>
          </w:tcPr>
          <w:p w14:paraId="156F0A21" w14:textId="77777777" w:rsidR="008D2CDE" w:rsidRPr="000B6B22" w:rsidRDefault="008D2CDE" w:rsidP="009D4EFF">
            <w:pPr>
              <w:pStyle w:val="TableParagraph"/>
              <w:spacing w:after="120"/>
              <w:ind w:left="243" w:right="103"/>
              <w:jc w:val="both"/>
              <w:rPr>
                <w:rFonts w:ascii="Times New Roman" w:eastAsia="Times New Roman" w:hAnsi="Times New Roman"/>
                <w:sz w:val="24"/>
                <w:szCs w:val="24"/>
              </w:rPr>
            </w:pPr>
            <w:r>
              <w:rPr>
                <w:rFonts w:ascii="Times New Roman" w:hAnsi="Times New Roman"/>
                <w:sz w:val="24"/>
              </w:rPr>
              <w:t xml:space="preserve">Υποχρέωση που καθίσταται ληξιπρόθεσμη μπορεί να καταστεί απαιτητή από τον εκδότη ή από τον πάροχο της χρηματοδότησης ή να συνεπάγεται την </w:t>
            </w:r>
            <w:r>
              <w:rPr>
                <w:rFonts w:ascii="Times New Roman" w:hAnsi="Times New Roman"/>
                <w:sz w:val="24"/>
              </w:rPr>
              <w:lastRenderedPageBreak/>
              <w:t>προσδοκία του παρόχου της χρηματοδότησης ότι το πιστωτικό ίδρυμα θα εξοφλήσει την απαίτηση εντός των επόμενων 30 ημερολογιακών ημερών;</w:t>
            </w:r>
          </w:p>
        </w:tc>
        <w:tc>
          <w:tcPr>
            <w:tcW w:w="1305" w:type="dxa"/>
            <w:shd w:val="clear" w:color="auto" w:fill="auto"/>
            <w:vAlign w:val="center"/>
          </w:tcPr>
          <w:p w14:paraId="5FE45C3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lastRenderedPageBreak/>
              <w:t>Ναι</w:t>
            </w:r>
          </w:p>
        </w:tc>
        <w:tc>
          <w:tcPr>
            <w:tcW w:w="2222" w:type="dxa"/>
            <w:shd w:val="clear" w:color="auto" w:fill="auto"/>
            <w:vAlign w:val="center"/>
          </w:tcPr>
          <w:p w14:paraId="56B2AE14" w14:textId="2406D62B"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13</w:t>
            </w:r>
          </w:p>
        </w:tc>
      </w:tr>
      <w:tr w:rsidR="00B47B7D" w:rsidRPr="000B6B22" w14:paraId="2C2DDEDE" w14:textId="77777777" w:rsidTr="0059273D">
        <w:tc>
          <w:tcPr>
            <w:tcW w:w="529" w:type="dxa"/>
            <w:vMerge/>
            <w:shd w:val="clear" w:color="auto" w:fill="auto"/>
            <w:vAlign w:val="center"/>
          </w:tcPr>
          <w:p w14:paraId="1A1F611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0DC911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8B5E741"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Όχι</w:t>
            </w:r>
          </w:p>
        </w:tc>
        <w:tc>
          <w:tcPr>
            <w:tcW w:w="2222" w:type="dxa"/>
            <w:shd w:val="clear" w:color="auto" w:fill="auto"/>
            <w:vAlign w:val="center"/>
          </w:tcPr>
          <w:p w14:paraId="25759DA7" w14:textId="3552E87E"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30</w:t>
            </w:r>
          </w:p>
        </w:tc>
      </w:tr>
      <w:tr w:rsidR="00B47B7D" w:rsidRPr="000B6B22" w14:paraId="7941FE88" w14:textId="77777777" w:rsidTr="0059273D">
        <w:tc>
          <w:tcPr>
            <w:tcW w:w="529" w:type="dxa"/>
            <w:vMerge w:val="restart"/>
            <w:shd w:val="clear" w:color="auto" w:fill="auto"/>
            <w:vAlign w:val="center"/>
          </w:tcPr>
          <w:p w14:paraId="76CBC442" w14:textId="48ADFE71"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13</w:t>
            </w:r>
          </w:p>
        </w:tc>
        <w:tc>
          <w:tcPr>
            <w:tcW w:w="5550" w:type="dxa"/>
            <w:vMerge w:val="restart"/>
            <w:shd w:val="clear" w:color="auto" w:fill="auto"/>
            <w:vAlign w:val="center"/>
          </w:tcPr>
          <w:p w14:paraId="02352179"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Υποχρέωση που προκύπτει από τις ίδιες λειτουργικές δαπάνες του ιδρύματος;</w:t>
            </w:r>
          </w:p>
        </w:tc>
        <w:tc>
          <w:tcPr>
            <w:tcW w:w="1305" w:type="dxa"/>
            <w:shd w:val="clear" w:color="auto" w:fill="auto"/>
            <w:vAlign w:val="center"/>
          </w:tcPr>
          <w:p w14:paraId="4B51DE6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Ναι</w:t>
            </w:r>
          </w:p>
        </w:tc>
        <w:tc>
          <w:tcPr>
            <w:tcW w:w="2222" w:type="dxa"/>
            <w:shd w:val="clear" w:color="auto" w:fill="auto"/>
            <w:vAlign w:val="center"/>
          </w:tcPr>
          <w:p w14:paraId="1ECEA94F"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ID 1.1.8.1</w:t>
            </w:r>
          </w:p>
        </w:tc>
      </w:tr>
      <w:tr w:rsidR="00B47B7D" w:rsidRPr="000B6B22" w14:paraId="7417BB93" w14:textId="77777777" w:rsidTr="0059273D">
        <w:tc>
          <w:tcPr>
            <w:tcW w:w="529" w:type="dxa"/>
            <w:vMerge/>
            <w:shd w:val="clear" w:color="auto" w:fill="auto"/>
            <w:vAlign w:val="center"/>
          </w:tcPr>
          <w:p w14:paraId="73CEA881"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A235BDE"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98828F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Όχι</w:t>
            </w:r>
          </w:p>
        </w:tc>
        <w:tc>
          <w:tcPr>
            <w:tcW w:w="2222" w:type="dxa"/>
            <w:shd w:val="clear" w:color="auto" w:fill="auto"/>
            <w:vAlign w:val="center"/>
          </w:tcPr>
          <w:p w14:paraId="17996DD8"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14</w:t>
            </w:r>
          </w:p>
        </w:tc>
      </w:tr>
      <w:tr w:rsidR="00B47B7D" w:rsidRPr="000B6B22" w14:paraId="23F8F447" w14:textId="77777777" w:rsidTr="0059273D">
        <w:tc>
          <w:tcPr>
            <w:tcW w:w="529" w:type="dxa"/>
            <w:vMerge w:val="restart"/>
            <w:shd w:val="clear" w:color="auto" w:fill="auto"/>
            <w:vAlign w:val="center"/>
          </w:tcPr>
          <w:p w14:paraId="4D83FAE0"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14</w:t>
            </w:r>
          </w:p>
        </w:tc>
        <w:tc>
          <w:tcPr>
            <w:tcW w:w="5550" w:type="dxa"/>
            <w:vMerge w:val="restart"/>
            <w:shd w:val="clear" w:color="auto" w:fill="auto"/>
            <w:vAlign w:val="center"/>
          </w:tcPr>
          <w:p w14:paraId="5B3C429C" w14:textId="77777777" w:rsidR="008D2CDE" w:rsidRPr="000B6B22" w:rsidRDefault="008D2CDE" w:rsidP="009D4EFF">
            <w:pPr>
              <w:pStyle w:val="TableParagraph"/>
              <w:spacing w:after="120"/>
              <w:ind w:left="243" w:right="100"/>
              <w:jc w:val="both"/>
              <w:rPr>
                <w:rFonts w:ascii="Times New Roman" w:eastAsia="Times New Roman" w:hAnsi="Times New Roman"/>
                <w:sz w:val="24"/>
                <w:szCs w:val="24"/>
              </w:rPr>
            </w:pPr>
            <w:r>
              <w:rPr>
                <w:rFonts w:ascii="Times New Roman" w:hAnsi="Times New Roman"/>
                <w:sz w:val="24"/>
              </w:rPr>
              <w:t>Υποχρέωση υπό μορφή ομολόγου που πωλείται αποκλειστικά στη λιανική αγορά και τηρείται σε λογαριασμό λιανικής σύμφωνα με το άρθρο 28 παράγραφος 6 του ΚΕΚ;</w:t>
            </w:r>
          </w:p>
        </w:tc>
        <w:tc>
          <w:tcPr>
            <w:tcW w:w="1305" w:type="dxa"/>
            <w:shd w:val="clear" w:color="auto" w:fill="auto"/>
            <w:vAlign w:val="center"/>
          </w:tcPr>
          <w:p w14:paraId="31D42F5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Ναι</w:t>
            </w:r>
          </w:p>
        </w:tc>
        <w:tc>
          <w:tcPr>
            <w:tcW w:w="2222" w:type="dxa"/>
            <w:shd w:val="clear" w:color="auto" w:fill="auto"/>
            <w:vAlign w:val="center"/>
          </w:tcPr>
          <w:p w14:paraId="34290030" w14:textId="77777777" w:rsidR="008D2CDE" w:rsidRPr="000B6B22" w:rsidRDefault="008D2CDE" w:rsidP="009D4EFF">
            <w:pPr>
              <w:pStyle w:val="TableParagraph"/>
              <w:spacing w:after="120"/>
              <w:ind w:left="243" w:right="106" w:hanging="1"/>
              <w:jc w:val="both"/>
              <w:rPr>
                <w:rFonts w:ascii="Times New Roman" w:eastAsia="Times New Roman" w:hAnsi="Times New Roman"/>
                <w:sz w:val="24"/>
                <w:szCs w:val="24"/>
              </w:rPr>
            </w:pPr>
            <w:r>
              <w:rPr>
                <w:rFonts w:ascii="Times New Roman" w:hAnsi="Times New Roman"/>
                <w:sz w:val="24"/>
              </w:rPr>
              <w:t>Ακολουθήστε τη διαδρομή για καταθέσεις λιανικής (δηλαδή απαντήστε ναι για # 5 και συμπληρώστε αναλόγως)</w:t>
            </w:r>
          </w:p>
        </w:tc>
      </w:tr>
      <w:tr w:rsidR="00B47B7D" w:rsidRPr="000B6B22" w14:paraId="6DD35BD7" w14:textId="77777777" w:rsidTr="0059273D">
        <w:tc>
          <w:tcPr>
            <w:tcW w:w="529" w:type="dxa"/>
            <w:vMerge/>
            <w:shd w:val="clear" w:color="auto" w:fill="auto"/>
            <w:vAlign w:val="center"/>
          </w:tcPr>
          <w:p w14:paraId="20BFFC2C"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039D631"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5DABDB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Όχι</w:t>
            </w:r>
          </w:p>
        </w:tc>
        <w:tc>
          <w:tcPr>
            <w:tcW w:w="2222" w:type="dxa"/>
            <w:shd w:val="clear" w:color="auto" w:fill="auto"/>
            <w:vAlign w:val="center"/>
          </w:tcPr>
          <w:p w14:paraId="73ADCE61"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15</w:t>
            </w:r>
          </w:p>
        </w:tc>
      </w:tr>
      <w:tr w:rsidR="00B47B7D" w:rsidRPr="000B6B22" w14:paraId="4AB0E8AE" w14:textId="77777777" w:rsidTr="0059273D">
        <w:tc>
          <w:tcPr>
            <w:tcW w:w="529" w:type="dxa"/>
            <w:vMerge w:val="restart"/>
            <w:shd w:val="clear" w:color="auto" w:fill="auto"/>
            <w:vAlign w:val="center"/>
          </w:tcPr>
          <w:p w14:paraId="60774A01"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15</w:t>
            </w:r>
          </w:p>
        </w:tc>
        <w:tc>
          <w:tcPr>
            <w:tcW w:w="5550" w:type="dxa"/>
            <w:vMerge w:val="restart"/>
            <w:shd w:val="clear" w:color="auto" w:fill="auto"/>
            <w:vAlign w:val="center"/>
          </w:tcPr>
          <w:p w14:paraId="5B5EEECA" w14:textId="560718A1"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Υποχρέωση υπό μορφή χρεωστικού τίτλου;</w:t>
            </w:r>
          </w:p>
        </w:tc>
        <w:tc>
          <w:tcPr>
            <w:tcW w:w="1305" w:type="dxa"/>
            <w:shd w:val="clear" w:color="auto" w:fill="auto"/>
            <w:vAlign w:val="center"/>
          </w:tcPr>
          <w:p w14:paraId="63FBA0D5"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Ναι</w:t>
            </w:r>
          </w:p>
        </w:tc>
        <w:tc>
          <w:tcPr>
            <w:tcW w:w="2222" w:type="dxa"/>
            <w:shd w:val="clear" w:color="auto" w:fill="auto"/>
            <w:vAlign w:val="center"/>
          </w:tcPr>
          <w:p w14:paraId="47560955" w14:textId="273B57AD" w:rsidR="008D2CDE" w:rsidRPr="000B6B22" w:rsidRDefault="008D2CDE" w:rsidP="009D4EFF">
            <w:pPr>
              <w:pStyle w:val="TableParagraph"/>
              <w:spacing w:after="120"/>
              <w:ind w:left="305"/>
              <w:jc w:val="both"/>
              <w:rPr>
                <w:rFonts w:ascii="Times New Roman" w:eastAsia="Times New Roman" w:hAnsi="Times New Roman"/>
                <w:sz w:val="24"/>
                <w:szCs w:val="24"/>
              </w:rPr>
            </w:pPr>
            <w:r>
              <w:rPr>
                <w:rFonts w:ascii="Times New Roman" w:hAnsi="Times New Roman"/>
                <w:sz w:val="24"/>
              </w:rPr>
              <w:t>ID 1.1.8.2</w:t>
            </w:r>
          </w:p>
        </w:tc>
      </w:tr>
      <w:tr w:rsidR="00B47B7D" w:rsidRPr="000B6B22" w14:paraId="3D2A88F2" w14:textId="77777777" w:rsidTr="0059273D">
        <w:tc>
          <w:tcPr>
            <w:tcW w:w="529" w:type="dxa"/>
            <w:vMerge/>
            <w:shd w:val="clear" w:color="auto" w:fill="auto"/>
            <w:vAlign w:val="center"/>
          </w:tcPr>
          <w:p w14:paraId="7FDB3D2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8C5776E"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A83796C"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Όχι</w:t>
            </w:r>
          </w:p>
        </w:tc>
        <w:tc>
          <w:tcPr>
            <w:tcW w:w="2222" w:type="dxa"/>
            <w:shd w:val="clear" w:color="auto" w:fill="auto"/>
            <w:vAlign w:val="center"/>
          </w:tcPr>
          <w:p w14:paraId="50D6027E"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16</w:t>
            </w:r>
          </w:p>
        </w:tc>
      </w:tr>
      <w:tr w:rsidR="00B47B7D" w:rsidRPr="000B6B22" w14:paraId="70CF9136" w14:textId="77777777" w:rsidTr="0059273D">
        <w:tc>
          <w:tcPr>
            <w:tcW w:w="529" w:type="dxa"/>
            <w:vMerge w:val="restart"/>
            <w:shd w:val="clear" w:color="auto" w:fill="auto"/>
            <w:vAlign w:val="center"/>
          </w:tcPr>
          <w:p w14:paraId="23D47858"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16</w:t>
            </w:r>
          </w:p>
        </w:tc>
        <w:tc>
          <w:tcPr>
            <w:tcW w:w="5550" w:type="dxa"/>
            <w:vMerge w:val="restart"/>
            <w:shd w:val="clear" w:color="auto" w:fill="auto"/>
            <w:vAlign w:val="center"/>
          </w:tcPr>
          <w:p w14:paraId="291985F0" w14:textId="3F4290CF"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Η κατάθεση λαμβάνεται ως εξασφάλιση;</w:t>
            </w:r>
          </w:p>
        </w:tc>
        <w:tc>
          <w:tcPr>
            <w:tcW w:w="1305" w:type="dxa"/>
            <w:shd w:val="clear" w:color="auto" w:fill="auto"/>
            <w:vAlign w:val="center"/>
          </w:tcPr>
          <w:p w14:paraId="533403F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Ναι</w:t>
            </w:r>
          </w:p>
        </w:tc>
        <w:tc>
          <w:tcPr>
            <w:tcW w:w="2222" w:type="dxa"/>
            <w:shd w:val="clear" w:color="auto" w:fill="auto"/>
            <w:vAlign w:val="center"/>
          </w:tcPr>
          <w:p w14:paraId="0D898C14" w14:textId="77BA27EB" w:rsidR="008D2CDE" w:rsidRPr="000B6B22" w:rsidRDefault="008D2CDE" w:rsidP="009D4EFF">
            <w:pPr>
              <w:pStyle w:val="TableParagraph"/>
              <w:spacing w:after="120"/>
              <w:ind w:left="267" w:right="128" w:hanging="2"/>
              <w:jc w:val="both"/>
              <w:rPr>
                <w:rFonts w:ascii="Times New Roman" w:eastAsia="Times New Roman" w:hAnsi="Times New Roman"/>
                <w:sz w:val="24"/>
                <w:szCs w:val="24"/>
              </w:rPr>
            </w:pPr>
            <w:r>
              <w:rPr>
                <w:rFonts w:ascii="Times New Roman" w:hAnsi="Times New Roman"/>
                <w:sz w:val="24"/>
              </w:rPr>
              <w:t>Κατάταξη στα σχετικά στοιχεία του ID 1.1.5</w:t>
            </w:r>
          </w:p>
        </w:tc>
      </w:tr>
      <w:tr w:rsidR="00B47B7D" w:rsidRPr="000B6B22" w14:paraId="55F59304" w14:textId="77777777" w:rsidTr="0059273D">
        <w:tc>
          <w:tcPr>
            <w:tcW w:w="529" w:type="dxa"/>
            <w:vMerge/>
            <w:shd w:val="clear" w:color="auto" w:fill="auto"/>
            <w:vAlign w:val="center"/>
          </w:tcPr>
          <w:p w14:paraId="6602BC6D"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2038C86"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D32ABE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Όχι</w:t>
            </w:r>
          </w:p>
        </w:tc>
        <w:tc>
          <w:tcPr>
            <w:tcW w:w="2222" w:type="dxa"/>
            <w:shd w:val="clear" w:color="auto" w:fill="auto"/>
            <w:vAlign w:val="center"/>
          </w:tcPr>
          <w:p w14:paraId="0BF876E3"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17</w:t>
            </w:r>
          </w:p>
        </w:tc>
      </w:tr>
      <w:tr w:rsidR="00B47B7D" w:rsidRPr="000B6B22" w14:paraId="5F0E8FC4" w14:textId="77777777" w:rsidTr="0059273D">
        <w:tc>
          <w:tcPr>
            <w:tcW w:w="529" w:type="dxa"/>
            <w:vMerge w:val="restart"/>
            <w:shd w:val="clear" w:color="auto" w:fill="auto"/>
            <w:vAlign w:val="center"/>
          </w:tcPr>
          <w:p w14:paraId="4915F544"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17</w:t>
            </w:r>
          </w:p>
        </w:tc>
        <w:tc>
          <w:tcPr>
            <w:tcW w:w="5550" w:type="dxa"/>
            <w:vMerge w:val="restart"/>
            <w:shd w:val="clear" w:color="auto" w:fill="auto"/>
            <w:vAlign w:val="center"/>
          </w:tcPr>
          <w:p w14:paraId="6A6F125C" w14:textId="2A9F606A"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Κατάθεση που πραγματοποιείται στο πλαίσιο αντίστοιχης τραπεζικής σχέσης ή βασικής μεσολάβησης;</w:t>
            </w:r>
          </w:p>
        </w:tc>
        <w:tc>
          <w:tcPr>
            <w:tcW w:w="1305" w:type="dxa"/>
            <w:shd w:val="clear" w:color="auto" w:fill="auto"/>
            <w:vAlign w:val="center"/>
          </w:tcPr>
          <w:p w14:paraId="42203966"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Ναι</w:t>
            </w:r>
          </w:p>
        </w:tc>
        <w:tc>
          <w:tcPr>
            <w:tcW w:w="2222" w:type="dxa"/>
            <w:shd w:val="clear" w:color="auto" w:fill="auto"/>
            <w:vAlign w:val="center"/>
          </w:tcPr>
          <w:p w14:paraId="6946E00F" w14:textId="257F1368"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rPr>
              <w:t>ID1.1.4.1.</w:t>
            </w:r>
          </w:p>
        </w:tc>
      </w:tr>
      <w:tr w:rsidR="00B47B7D" w:rsidRPr="000B6B22" w14:paraId="10F6FE73" w14:textId="77777777" w:rsidTr="0059273D">
        <w:tc>
          <w:tcPr>
            <w:tcW w:w="529" w:type="dxa"/>
            <w:vMerge/>
            <w:shd w:val="clear" w:color="auto" w:fill="auto"/>
            <w:vAlign w:val="center"/>
          </w:tcPr>
          <w:p w14:paraId="4CAE36C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277812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DA366E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Όχι</w:t>
            </w:r>
          </w:p>
        </w:tc>
        <w:tc>
          <w:tcPr>
            <w:tcW w:w="2222" w:type="dxa"/>
            <w:shd w:val="clear" w:color="auto" w:fill="auto"/>
            <w:vAlign w:val="center"/>
          </w:tcPr>
          <w:p w14:paraId="10AE7CD0"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18</w:t>
            </w:r>
          </w:p>
        </w:tc>
      </w:tr>
      <w:tr w:rsidR="00B47B7D" w:rsidRPr="000B6B22" w14:paraId="02A0F95D" w14:textId="77777777" w:rsidTr="0059273D">
        <w:tc>
          <w:tcPr>
            <w:tcW w:w="529" w:type="dxa"/>
            <w:vMerge w:val="restart"/>
            <w:shd w:val="clear" w:color="auto" w:fill="auto"/>
            <w:vAlign w:val="center"/>
          </w:tcPr>
          <w:p w14:paraId="36C3143A" w14:textId="171839B3"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18</w:t>
            </w:r>
          </w:p>
        </w:tc>
        <w:tc>
          <w:tcPr>
            <w:tcW w:w="5550" w:type="dxa"/>
            <w:vMerge w:val="restart"/>
            <w:shd w:val="clear" w:color="auto" w:fill="auto"/>
            <w:vAlign w:val="center"/>
          </w:tcPr>
          <w:p w14:paraId="74EBCD2F"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Λειτουργική κατάθεση σύμφωνα με το άρθρο 27 του ΚΕΚ;</w:t>
            </w:r>
          </w:p>
        </w:tc>
        <w:tc>
          <w:tcPr>
            <w:tcW w:w="1305" w:type="dxa"/>
            <w:shd w:val="clear" w:color="auto" w:fill="auto"/>
            <w:vAlign w:val="center"/>
          </w:tcPr>
          <w:p w14:paraId="152B754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Ναι</w:t>
            </w:r>
          </w:p>
        </w:tc>
        <w:tc>
          <w:tcPr>
            <w:tcW w:w="2222" w:type="dxa"/>
            <w:shd w:val="clear" w:color="auto" w:fill="auto"/>
            <w:vAlign w:val="center"/>
          </w:tcPr>
          <w:p w14:paraId="3F3F8368" w14:textId="176A555B"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19</w:t>
            </w:r>
          </w:p>
        </w:tc>
      </w:tr>
      <w:tr w:rsidR="00B47B7D" w:rsidRPr="000B6B22" w14:paraId="0A60FE17" w14:textId="77777777" w:rsidTr="0059273D">
        <w:tc>
          <w:tcPr>
            <w:tcW w:w="529" w:type="dxa"/>
            <w:vMerge/>
            <w:shd w:val="clear" w:color="auto" w:fill="auto"/>
            <w:vAlign w:val="center"/>
          </w:tcPr>
          <w:p w14:paraId="748B0A5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517EC12"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1C837E5"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Όχι</w:t>
            </w:r>
          </w:p>
        </w:tc>
        <w:tc>
          <w:tcPr>
            <w:tcW w:w="2222" w:type="dxa"/>
            <w:shd w:val="clear" w:color="auto" w:fill="auto"/>
            <w:vAlign w:val="center"/>
          </w:tcPr>
          <w:p w14:paraId="09151F5E" w14:textId="655948EA"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24</w:t>
            </w:r>
          </w:p>
        </w:tc>
      </w:tr>
      <w:tr w:rsidR="00B47B7D" w:rsidRPr="000B6B22" w14:paraId="15BB7148" w14:textId="77777777" w:rsidTr="0059273D">
        <w:tc>
          <w:tcPr>
            <w:tcW w:w="529" w:type="dxa"/>
            <w:vMerge w:val="restart"/>
            <w:shd w:val="clear" w:color="auto" w:fill="auto"/>
            <w:vAlign w:val="center"/>
          </w:tcPr>
          <w:p w14:paraId="460080E3" w14:textId="2D4F3670"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19</w:t>
            </w:r>
          </w:p>
        </w:tc>
        <w:tc>
          <w:tcPr>
            <w:tcW w:w="5550" w:type="dxa"/>
            <w:vMerge w:val="restart"/>
            <w:shd w:val="clear" w:color="auto" w:fill="auto"/>
            <w:vAlign w:val="center"/>
          </w:tcPr>
          <w:p w14:paraId="1C5D57B6"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Διατηρείται στο πλαίσιο ΘΣΠ ή δικτύου συνεργασίας;</w:t>
            </w:r>
          </w:p>
        </w:tc>
        <w:tc>
          <w:tcPr>
            <w:tcW w:w="1305" w:type="dxa"/>
            <w:shd w:val="clear" w:color="auto" w:fill="auto"/>
            <w:vAlign w:val="center"/>
          </w:tcPr>
          <w:p w14:paraId="43FAB36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Ναι</w:t>
            </w:r>
          </w:p>
        </w:tc>
        <w:tc>
          <w:tcPr>
            <w:tcW w:w="2222" w:type="dxa"/>
            <w:shd w:val="clear" w:color="auto" w:fill="auto"/>
            <w:vAlign w:val="center"/>
          </w:tcPr>
          <w:p w14:paraId="03C0C7BE" w14:textId="52E84313" w:rsidR="008D2CDE" w:rsidRPr="000B6B22" w:rsidRDefault="008D2CDE" w:rsidP="009D4EFF">
            <w:pPr>
              <w:pStyle w:val="TableParagraph"/>
              <w:spacing w:after="120"/>
              <w:ind w:left="491"/>
              <w:jc w:val="both"/>
              <w:rPr>
                <w:rFonts w:ascii="Times New Roman" w:eastAsia="Times New Roman" w:hAnsi="Times New Roman"/>
                <w:sz w:val="24"/>
                <w:szCs w:val="24"/>
              </w:rPr>
            </w:pPr>
            <w:r>
              <w:rPr>
                <w:rFonts w:ascii="Times New Roman" w:hAnsi="Times New Roman"/>
                <w:sz w:val="24"/>
              </w:rPr>
              <w:t># 20</w:t>
            </w:r>
          </w:p>
        </w:tc>
      </w:tr>
      <w:tr w:rsidR="00B47B7D" w:rsidRPr="000B6B22" w14:paraId="6E704A32" w14:textId="77777777" w:rsidTr="0059273D">
        <w:tc>
          <w:tcPr>
            <w:tcW w:w="529" w:type="dxa"/>
            <w:vMerge/>
            <w:shd w:val="clear" w:color="auto" w:fill="auto"/>
            <w:vAlign w:val="center"/>
          </w:tcPr>
          <w:p w14:paraId="51265B6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78CCC4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F861F3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Όχι</w:t>
            </w:r>
          </w:p>
        </w:tc>
        <w:tc>
          <w:tcPr>
            <w:tcW w:w="2222" w:type="dxa"/>
            <w:shd w:val="clear" w:color="auto" w:fill="auto"/>
            <w:vAlign w:val="center"/>
          </w:tcPr>
          <w:p w14:paraId="5768E6EF"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22</w:t>
            </w:r>
          </w:p>
        </w:tc>
      </w:tr>
      <w:tr w:rsidR="00B47B7D" w:rsidRPr="000B6B22" w14:paraId="5FE26A7E" w14:textId="77777777" w:rsidTr="0059273D">
        <w:tc>
          <w:tcPr>
            <w:tcW w:w="529" w:type="dxa"/>
            <w:vMerge w:val="restart"/>
            <w:shd w:val="clear" w:color="auto" w:fill="auto"/>
            <w:vAlign w:val="center"/>
          </w:tcPr>
          <w:p w14:paraId="64DB452A"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20</w:t>
            </w:r>
          </w:p>
        </w:tc>
        <w:tc>
          <w:tcPr>
            <w:tcW w:w="5550" w:type="dxa"/>
            <w:vMerge w:val="restart"/>
            <w:shd w:val="clear" w:color="auto" w:fill="auto"/>
            <w:vAlign w:val="center"/>
          </w:tcPr>
          <w:p w14:paraId="4AF956C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Αντιμετωπίζεται ως ρευστά στοιχεία ενεργητικού για το πιστωτικό ίδρυμα που πραγματοποιεί την κατάθεση;</w:t>
            </w:r>
          </w:p>
        </w:tc>
        <w:tc>
          <w:tcPr>
            <w:tcW w:w="1305" w:type="dxa"/>
            <w:shd w:val="clear" w:color="auto" w:fill="auto"/>
            <w:vAlign w:val="center"/>
          </w:tcPr>
          <w:p w14:paraId="5A82765E"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Ναι</w:t>
            </w:r>
          </w:p>
        </w:tc>
        <w:tc>
          <w:tcPr>
            <w:tcW w:w="2222" w:type="dxa"/>
            <w:shd w:val="clear" w:color="auto" w:fill="auto"/>
            <w:vAlign w:val="center"/>
          </w:tcPr>
          <w:p w14:paraId="5A03D3D5"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rPr>
              <w:t>ID 1.1.2.2.2</w:t>
            </w:r>
          </w:p>
        </w:tc>
      </w:tr>
      <w:tr w:rsidR="00B47B7D" w:rsidRPr="000B6B22" w14:paraId="2E534200" w14:textId="77777777" w:rsidTr="0059273D">
        <w:tc>
          <w:tcPr>
            <w:tcW w:w="529" w:type="dxa"/>
            <w:vMerge/>
            <w:shd w:val="clear" w:color="auto" w:fill="auto"/>
            <w:vAlign w:val="center"/>
          </w:tcPr>
          <w:p w14:paraId="0C1C54FE"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5F5595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071E408"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Όχι</w:t>
            </w:r>
          </w:p>
        </w:tc>
        <w:tc>
          <w:tcPr>
            <w:tcW w:w="2222" w:type="dxa"/>
            <w:shd w:val="clear" w:color="auto" w:fill="auto"/>
            <w:vAlign w:val="center"/>
          </w:tcPr>
          <w:p w14:paraId="4C45D6EE"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21</w:t>
            </w:r>
          </w:p>
        </w:tc>
      </w:tr>
      <w:tr w:rsidR="00B47B7D" w:rsidRPr="000B6B22" w14:paraId="60DDD6BD" w14:textId="77777777" w:rsidTr="0059273D">
        <w:tc>
          <w:tcPr>
            <w:tcW w:w="529" w:type="dxa"/>
            <w:vMerge w:val="restart"/>
            <w:shd w:val="clear" w:color="auto" w:fill="auto"/>
            <w:vAlign w:val="center"/>
          </w:tcPr>
          <w:p w14:paraId="4B17D629" w14:textId="33620852"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21</w:t>
            </w:r>
          </w:p>
        </w:tc>
        <w:tc>
          <w:tcPr>
            <w:tcW w:w="5550" w:type="dxa"/>
            <w:vMerge w:val="restart"/>
            <w:shd w:val="clear" w:color="auto" w:fill="auto"/>
            <w:vAlign w:val="center"/>
          </w:tcPr>
          <w:p w14:paraId="6C7FCCC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Διατηρείται για να ληφθούν υπηρεσίες εκκαθάρισης σε μετρητά και υπηρεσίες από το κεντρικό πιστωτικό ίδρυμα στο πλαίσιο δικτύου;</w:t>
            </w:r>
          </w:p>
        </w:tc>
        <w:tc>
          <w:tcPr>
            <w:tcW w:w="1305" w:type="dxa"/>
            <w:shd w:val="clear" w:color="auto" w:fill="auto"/>
            <w:vAlign w:val="center"/>
          </w:tcPr>
          <w:p w14:paraId="7DDF6E4A"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Ναι</w:t>
            </w:r>
          </w:p>
        </w:tc>
        <w:tc>
          <w:tcPr>
            <w:tcW w:w="2222" w:type="dxa"/>
            <w:shd w:val="clear" w:color="auto" w:fill="auto"/>
            <w:vAlign w:val="center"/>
          </w:tcPr>
          <w:p w14:paraId="7F970D15"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ID 1.1.2.4</w:t>
            </w:r>
          </w:p>
        </w:tc>
      </w:tr>
      <w:tr w:rsidR="00B47B7D" w:rsidRPr="000B6B22" w14:paraId="7FAA49AA" w14:textId="77777777" w:rsidTr="0059273D">
        <w:tc>
          <w:tcPr>
            <w:tcW w:w="529" w:type="dxa"/>
            <w:vMerge/>
            <w:shd w:val="clear" w:color="auto" w:fill="auto"/>
            <w:vAlign w:val="center"/>
          </w:tcPr>
          <w:p w14:paraId="3983F11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5C4F6CB"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03C91C1"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Όχι</w:t>
            </w:r>
          </w:p>
        </w:tc>
        <w:tc>
          <w:tcPr>
            <w:tcW w:w="2222" w:type="dxa"/>
            <w:shd w:val="clear" w:color="auto" w:fill="auto"/>
            <w:vAlign w:val="center"/>
          </w:tcPr>
          <w:p w14:paraId="6EB061F1"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rPr>
              <w:t>ID 1.1.2.2.1</w:t>
            </w:r>
          </w:p>
        </w:tc>
      </w:tr>
      <w:tr w:rsidR="00B47B7D" w:rsidRPr="000B6B22" w14:paraId="67BF4695" w14:textId="77777777" w:rsidTr="0059273D">
        <w:tc>
          <w:tcPr>
            <w:tcW w:w="529" w:type="dxa"/>
            <w:vMerge w:val="restart"/>
            <w:shd w:val="clear" w:color="auto" w:fill="auto"/>
            <w:vAlign w:val="center"/>
          </w:tcPr>
          <w:p w14:paraId="42D90D59" w14:textId="52E5F22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22</w:t>
            </w:r>
          </w:p>
        </w:tc>
        <w:tc>
          <w:tcPr>
            <w:tcW w:w="5550" w:type="dxa"/>
            <w:vMerge w:val="restart"/>
            <w:shd w:val="clear" w:color="auto" w:fill="auto"/>
            <w:vAlign w:val="center"/>
          </w:tcPr>
          <w:p w14:paraId="1BE1DC49" w14:textId="77777777" w:rsidR="008D2CDE" w:rsidRPr="000B6B22" w:rsidRDefault="008D2CDE" w:rsidP="009D4EFF">
            <w:pPr>
              <w:pStyle w:val="TableParagraph"/>
              <w:spacing w:after="120"/>
              <w:ind w:left="243" w:right="98"/>
              <w:jc w:val="both"/>
              <w:rPr>
                <w:rFonts w:ascii="Times New Roman" w:eastAsia="Times New Roman" w:hAnsi="Times New Roman"/>
                <w:sz w:val="24"/>
                <w:szCs w:val="24"/>
              </w:rPr>
            </w:pPr>
            <w:r>
              <w:rPr>
                <w:rFonts w:ascii="Times New Roman" w:hAnsi="Times New Roman"/>
                <w:sz w:val="24"/>
              </w:rPr>
              <w:t>Διατηρείται για υπηρεσίες εκκαθάρισης, φύλαξης, διαχείρισης μετρητών ή άλλες συγκρίσιμες υπηρεσίες στο πλαίσιο καθιερωμένης λειτουργικής σχέσης;</w:t>
            </w:r>
          </w:p>
        </w:tc>
        <w:tc>
          <w:tcPr>
            <w:tcW w:w="1305" w:type="dxa"/>
            <w:shd w:val="clear" w:color="auto" w:fill="auto"/>
            <w:vAlign w:val="center"/>
          </w:tcPr>
          <w:p w14:paraId="42CCA4E7"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Ναι</w:t>
            </w:r>
          </w:p>
        </w:tc>
        <w:tc>
          <w:tcPr>
            <w:tcW w:w="2222" w:type="dxa"/>
            <w:shd w:val="clear" w:color="auto" w:fill="auto"/>
            <w:vAlign w:val="center"/>
          </w:tcPr>
          <w:p w14:paraId="3FDEF73A" w14:textId="77777777" w:rsidR="008D2CDE" w:rsidRPr="000B6B22" w:rsidRDefault="008D2CDE" w:rsidP="009D4EFF">
            <w:pPr>
              <w:pStyle w:val="TableParagraph"/>
              <w:spacing w:after="120"/>
              <w:ind w:left="299" w:right="160" w:hanging="2"/>
              <w:jc w:val="both"/>
              <w:rPr>
                <w:rFonts w:ascii="Times New Roman" w:eastAsia="Times New Roman" w:hAnsi="Times New Roman"/>
                <w:sz w:val="24"/>
                <w:szCs w:val="24"/>
              </w:rPr>
            </w:pPr>
            <w:r>
              <w:rPr>
                <w:rFonts w:ascii="Times New Roman" w:hAnsi="Times New Roman"/>
                <w:sz w:val="24"/>
              </w:rPr>
              <w:t>Κατάταξη σε ένα σχετικό στοιχείο του ID 1.1.2.1</w:t>
            </w:r>
          </w:p>
        </w:tc>
      </w:tr>
      <w:tr w:rsidR="00B47B7D" w:rsidRPr="000B6B22" w14:paraId="19BD23DF" w14:textId="77777777" w:rsidTr="0059273D">
        <w:tc>
          <w:tcPr>
            <w:tcW w:w="529" w:type="dxa"/>
            <w:vMerge/>
            <w:shd w:val="clear" w:color="auto" w:fill="auto"/>
            <w:vAlign w:val="center"/>
          </w:tcPr>
          <w:p w14:paraId="3003AC27"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7F02ED5"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44172F9"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Όχι</w:t>
            </w:r>
          </w:p>
        </w:tc>
        <w:tc>
          <w:tcPr>
            <w:tcW w:w="2222" w:type="dxa"/>
            <w:shd w:val="clear" w:color="auto" w:fill="auto"/>
            <w:vAlign w:val="center"/>
          </w:tcPr>
          <w:p w14:paraId="0DE4B33F" w14:textId="5A879D21"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23</w:t>
            </w:r>
          </w:p>
        </w:tc>
      </w:tr>
      <w:tr w:rsidR="00B47B7D" w:rsidRPr="000B6B22" w14:paraId="6B994388" w14:textId="77777777" w:rsidTr="0059273D">
        <w:tc>
          <w:tcPr>
            <w:tcW w:w="529" w:type="dxa"/>
            <w:vMerge w:val="restart"/>
            <w:shd w:val="clear" w:color="auto" w:fill="auto"/>
            <w:vAlign w:val="center"/>
          </w:tcPr>
          <w:p w14:paraId="0815ED65" w14:textId="1FA3E876"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23</w:t>
            </w:r>
          </w:p>
        </w:tc>
        <w:tc>
          <w:tcPr>
            <w:tcW w:w="5550" w:type="dxa"/>
            <w:vMerge w:val="restart"/>
            <w:shd w:val="clear" w:color="auto" w:fill="auto"/>
            <w:vAlign w:val="center"/>
          </w:tcPr>
          <w:p w14:paraId="4C40E4D4" w14:textId="77777777" w:rsidR="008D2CDE" w:rsidRPr="000B6B22" w:rsidRDefault="008D2CDE" w:rsidP="009D4EFF">
            <w:pPr>
              <w:pStyle w:val="TableParagraph"/>
              <w:spacing w:after="120"/>
              <w:ind w:left="243" w:right="101"/>
              <w:jc w:val="both"/>
              <w:rPr>
                <w:rFonts w:ascii="Times New Roman" w:eastAsia="Times New Roman" w:hAnsi="Times New Roman"/>
                <w:sz w:val="24"/>
                <w:szCs w:val="24"/>
              </w:rPr>
            </w:pPr>
            <w:r>
              <w:rPr>
                <w:rFonts w:ascii="Times New Roman" w:hAnsi="Times New Roman"/>
                <w:sz w:val="24"/>
              </w:rPr>
              <w:t>Διατηρείται στο πλαίσιο καθιερωμένης λειτουργικής σχέσης (άλλης) με μη χρηματοπιστωτικούς πελάτες;</w:t>
            </w:r>
          </w:p>
        </w:tc>
        <w:tc>
          <w:tcPr>
            <w:tcW w:w="1305" w:type="dxa"/>
            <w:shd w:val="clear" w:color="auto" w:fill="auto"/>
            <w:vAlign w:val="center"/>
          </w:tcPr>
          <w:p w14:paraId="7097682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Ναι</w:t>
            </w:r>
          </w:p>
        </w:tc>
        <w:tc>
          <w:tcPr>
            <w:tcW w:w="2222" w:type="dxa"/>
            <w:shd w:val="clear" w:color="auto" w:fill="auto"/>
            <w:vAlign w:val="center"/>
          </w:tcPr>
          <w:p w14:paraId="7B82FFB9"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ID 1.1.2.3</w:t>
            </w:r>
          </w:p>
        </w:tc>
      </w:tr>
      <w:tr w:rsidR="00B47B7D" w:rsidRPr="000B6B22" w14:paraId="26266AE3" w14:textId="77777777" w:rsidTr="0059273D">
        <w:tc>
          <w:tcPr>
            <w:tcW w:w="529" w:type="dxa"/>
            <w:vMerge/>
            <w:shd w:val="clear" w:color="auto" w:fill="auto"/>
            <w:vAlign w:val="center"/>
          </w:tcPr>
          <w:p w14:paraId="71C0A4D3" w14:textId="77777777" w:rsidR="008D2CDE" w:rsidRPr="000B6B22" w:rsidRDefault="008D2CDE" w:rsidP="009D4EFF">
            <w:pPr>
              <w:spacing w:before="0"/>
              <w:rPr>
                <w:rFonts w:ascii="Times New Roman" w:hAnsi="Times New Roman"/>
                <w:sz w:val="24"/>
              </w:rPr>
            </w:pPr>
          </w:p>
        </w:tc>
        <w:tc>
          <w:tcPr>
            <w:tcW w:w="5550" w:type="dxa"/>
            <w:vMerge/>
            <w:shd w:val="clear" w:color="auto" w:fill="auto"/>
            <w:vAlign w:val="center"/>
          </w:tcPr>
          <w:p w14:paraId="06802C91" w14:textId="77777777" w:rsidR="008D2CDE" w:rsidRPr="000B6B22" w:rsidRDefault="008D2CDE" w:rsidP="009D4EFF">
            <w:pPr>
              <w:spacing w:before="0"/>
              <w:rPr>
                <w:rFonts w:ascii="Times New Roman" w:hAnsi="Times New Roman"/>
                <w:sz w:val="24"/>
              </w:rPr>
            </w:pPr>
          </w:p>
        </w:tc>
        <w:tc>
          <w:tcPr>
            <w:tcW w:w="1305" w:type="dxa"/>
            <w:shd w:val="clear" w:color="auto" w:fill="auto"/>
            <w:vAlign w:val="center"/>
          </w:tcPr>
          <w:p w14:paraId="7E3A582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Όχι</w:t>
            </w:r>
          </w:p>
        </w:tc>
        <w:tc>
          <w:tcPr>
            <w:tcW w:w="2222" w:type="dxa"/>
            <w:shd w:val="clear" w:color="auto" w:fill="auto"/>
            <w:vAlign w:val="center"/>
          </w:tcPr>
          <w:p w14:paraId="1F554AE1" w14:textId="6E19B8CD"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24</w:t>
            </w:r>
          </w:p>
        </w:tc>
      </w:tr>
      <w:tr w:rsidR="00B47B7D" w:rsidRPr="000B6B22" w14:paraId="401753E0" w14:textId="77777777" w:rsidTr="0059273D">
        <w:tc>
          <w:tcPr>
            <w:tcW w:w="529" w:type="dxa"/>
            <w:vMerge w:val="restart"/>
            <w:shd w:val="clear" w:color="auto" w:fill="auto"/>
            <w:vAlign w:val="center"/>
          </w:tcPr>
          <w:p w14:paraId="2ADF5571" w14:textId="6BD38AAE" w:rsidR="008D2CDE" w:rsidRPr="000B6B22" w:rsidRDefault="008D2CDE" w:rsidP="009D4EFF">
            <w:pPr>
              <w:pStyle w:val="TableParagraph"/>
              <w:spacing w:after="120"/>
              <w:ind w:left="7"/>
              <w:jc w:val="both"/>
              <w:rPr>
                <w:rFonts w:ascii="Times New Roman" w:hAnsi="Times New Roman"/>
                <w:sz w:val="24"/>
                <w:szCs w:val="24"/>
              </w:rPr>
            </w:pPr>
            <w:r>
              <w:rPr>
                <w:rFonts w:ascii="Times New Roman" w:hAnsi="Times New Roman"/>
                <w:sz w:val="24"/>
              </w:rPr>
              <w:lastRenderedPageBreak/>
              <w:t>24</w:t>
            </w:r>
          </w:p>
        </w:tc>
        <w:tc>
          <w:tcPr>
            <w:tcW w:w="5550" w:type="dxa"/>
            <w:vMerge w:val="restart"/>
            <w:shd w:val="clear" w:color="auto" w:fill="auto"/>
            <w:vAlign w:val="center"/>
          </w:tcPr>
          <w:p w14:paraId="54DD94C2" w14:textId="77777777" w:rsidR="008D2CDE" w:rsidRPr="000B6B22" w:rsidRDefault="008D2CDE" w:rsidP="009D4EFF">
            <w:pPr>
              <w:pStyle w:val="TableParagraph"/>
              <w:spacing w:after="120"/>
              <w:ind w:left="243"/>
              <w:jc w:val="both"/>
              <w:rPr>
                <w:rFonts w:ascii="Times New Roman" w:hAnsi="Times New Roman"/>
                <w:sz w:val="24"/>
                <w:szCs w:val="24"/>
              </w:rPr>
            </w:pPr>
            <w:r>
              <w:rPr>
                <w:rFonts w:ascii="Times New Roman" w:hAnsi="Times New Roman"/>
                <w:sz w:val="24"/>
              </w:rPr>
              <w:t>Υπερβάλλουσες λειτουργικές καταθέσεις;</w:t>
            </w:r>
          </w:p>
        </w:tc>
        <w:tc>
          <w:tcPr>
            <w:tcW w:w="1305" w:type="dxa"/>
            <w:shd w:val="clear" w:color="auto" w:fill="auto"/>
            <w:vAlign w:val="center"/>
          </w:tcPr>
          <w:p w14:paraId="53A0C5F8" w14:textId="77777777" w:rsidR="008D2CDE" w:rsidRPr="000B6B22" w:rsidRDefault="008D2CDE" w:rsidP="009D4EFF">
            <w:pPr>
              <w:pStyle w:val="TableParagraph"/>
              <w:spacing w:after="120"/>
              <w:ind w:left="433"/>
              <w:jc w:val="both"/>
              <w:rPr>
                <w:rFonts w:ascii="Times New Roman" w:hAnsi="Times New Roman"/>
                <w:sz w:val="24"/>
                <w:szCs w:val="24"/>
              </w:rPr>
            </w:pPr>
            <w:r>
              <w:rPr>
                <w:rFonts w:ascii="Times New Roman" w:hAnsi="Times New Roman"/>
                <w:sz w:val="24"/>
              </w:rPr>
              <w:t>Ναι</w:t>
            </w:r>
          </w:p>
        </w:tc>
        <w:tc>
          <w:tcPr>
            <w:tcW w:w="2222" w:type="dxa"/>
            <w:shd w:val="clear" w:color="auto" w:fill="auto"/>
            <w:vAlign w:val="center"/>
          </w:tcPr>
          <w:p w14:paraId="59D79FB9" w14:textId="77777777" w:rsidR="008D2CDE" w:rsidRPr="000B6B22" w:rsidRDefault="008D2CDE" w:rsidP="009D4EFF">
            <w:pPr>
              <w:pStyle w:val="TableParagraph"/>
              <w:spacing w:after="120"/>
              <w:ind w:left="490"/>
              <w:jc w:val="both"/>
              <w:rPr>
                <w:rFonts w:ascii="Times New Roman" w:hAnsi="Times New Roman"/>
                <w:sz w:val="24"/>
                <w:szCs w:val="24"/>
              </w:rPr>
            </w:pPr>
            <w:r>
              <w:rPr>
                <w:rFonts w:ascii="Times New Roman" w:hAnsi="Times New Roman"/>
                <w:sz w:val="24"/>
              </w:rPr>
              <w:t>Κατάταξη σε ένα σχετικό στοιχείο του ID 1.1.3.</w:t>
            </w:r>
          </w:p>
        </w:tc>
      </w:tr>
      <w:tr w:rsidR="00B47B7D" w:rsidRPr="000B6B22" w14:paraId="2AB9D9FB" w14:textId="77777777" w:rsidTr="0059273D">
        <w:tc>
          <w:tcPr>
            <w:tcW w:w="529" w:type="dxa"/>
            <w:vMerge/>
            <w:shd w:val="clear" w:color="auto" w:fill="auto"/>
            <w:vAlign w:val="center"/>
          </w:tcPr>
          <w:p w14:paraId="59F97FC8" w14:textId="77777777" w:rsidR="008D2CDE" w:rsidRPr="00301219" w:rsidRDefault="008D2CDE" w:rsidP="009D4EFF">
            <w:pPr>
              <w:pStyle w:val="TableParagraph"/>
              <w:spacing w:after="120"/>
              <w:ind w:left="7"/>
              <w:jc w:val="both"/>
              <w:rPr>
                <w:rFonts w:ascii="Times New Roman" w:hAnsi="Times New Roman"/>
                <w:sz w:val="24"/>
                <w:szCs w:val="24"/>
              </w:rPr>
            </w:pPr>
          </w:p>
        </w:tc>
        <w:tc>
          <w:tcPr>
            <w:tcW w:w="5550" w:type="dxa"/>
            <w:vMerge/>
            <w:shd w:val="clear" w:color="auto" w:fill="auto"/>
            <w:vAlign w:val="center"/>
          </w:tcPr>
          <w:p w14:paraId="53A7F977" w14:textId="77777777" w:rsidR="008D2CDE" w:rsidRPr="00301219" w:rsidRDefault="008D2CDE" w:rsidP="009D4EFF">
            <w:pPr>
              <w:pStyle w:val="TableParagraph"/>
              <w:spacing w:after="120"/>
              <w:ind w:left="243"/>
              <w:jc w:val="both"/>
              <w:rPr>
                <w:rFonts w:ascii="Times New Roman" w:hAnsi="Times New Roman"/>
                <w:sz w:val="24"/>
                <w:szCs w:val="24"/>
              </w:rPr>
            </w:pPr>
          </w:p>
        </w:tc>
        <w:tc>
          <w:tcPr>
            <w:tcW w:w="1305" w:type="dxa"/>
            <w:shd w:val="clear" w:color="auto" w:fill="auto"/>
            <w:vAlign w:val="center"/>
          </w:tcPr>
          <w:p w14:paraId="6E1A33F4" w14:textId="77777777" w:rsidR="008D2CDE" w:rsidRPr="000B6B22" w:rsidRDefault="008D2CDE" w:rsidP="009D4EFF">
            <w:pPr>
              <w:pStyle w:val="TableParagraph"/>
              <w:spacing w:after="120"/>
              <w:ind w:left="433"/>
              <w:jc w:val="both"/>
              <w:rPr>
                <w:rFonts w:ascii="Times New Roman" w:hAnsi="Times New Roman"/>
                <w:sz w:val="24"/>
                <w:szCs w:val="24"/>
              </w:rPr>
            </w:pPr>
            <w:r>
              <w:rPr>
                <w:rFonts w:ascii="Times New Roman" w:hAnsi="Times New Roman"/>
                <w:sz w:val="24"/>
              </w:rPr>
              <w:t>Όχι</w:t>
            </w:r>
          </w:p>
        </w:tc>
        <w:tc>
          <w:tcPr>
            <w:tcW w:w="2222" w:type="dxa"/>
            <w:shd w:val="clear" w:color="auto" w:fill="auto"/>
            <w:vAlign w:val="center"/>
          </w:tcPr>
          <w:p w14:paraId="7E47FCCA" w14:textId="2D7C18F1" w:rsidR="008D2CDE" w:rsidRPr="000B6B22" w:rsidRDefault="008D2CDE" w:rsidP="009D4EFF">
            <w:pPr>
              <w:pStyle w:val="TableParagraph"/>
              <w:spacing w:after="120"/>
              <w:ind w:left="490"/>
              <w:jc w:val="both"/>
              <w:rPr>
                <w:rFonts w:ascii="Times New Roman" w:hAnsi="Times New Roman"/>
                <w:sz w:val="24"/>
                <w:szCs w:val="24"/>
              </w:rPr>
            </w:pPr>
            <w:r>
              <w:rPr>
                <w:rFonts w:ascii="Times New Roman" w:hAnsi="Times New Roman"/>
                <w:sz w:val="24"/>
              </w:rPr>
              <w:t># 25</w:t>
            </w:r>
          </w:p>
        </w:tc>
      </w:tr>
      <w:tr w:rsidR="00B47B7D" w:rsidRPr="000B6B22" w14:paraId="1E9F41C4" w14:textId="77777777" w:rsidTr="0059273D">
        <w:tc>
          <w:tcPr>
            <w:tcW w:w="529" w:type="dxa"/>
            <w:vMerge w:val="restart"/>
            <w:shd w:val="clear" w:color="auto" w:fill="auto"/>
            <w:vAlign w:val="center"/>
          </w:tcPr>
          <w:p w14:paraId="36EC2AC1" w14:textId="0CD5A66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25</w:t>
            </w:r>
          </w:p>
        </w:tc>
        <w:tc>
          <w:tcPr>
            <w:tcW w:w="5550" w:type="dxa"/>
            <w:vMerge w:val="restart"/>
            <w:shd w:val="clear" w:color="auto" w:fill="auto"/>
            <w:vAlign w:val="center"/>
          </w:tcPr>
          <w:p w14:paraId="1D310D46"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Άλλες καταθέσεις;</w:t>
            </w:r>
          </w:p>
        </w:tc>
        <w:tc>
          <w:tcPr>
            <w:tcW w:w="1305" w:type="dxa"/>
            <w:shd w:val="clear" w:color="auto" w:fill="auto"/>
            <w:vAlign w:val="center"/>
          </w:tcPr>
          <w:p w14:paraId="7DD7042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Ναι</w:t>
            </w:r>
          </w:p>
        </w:tc>
        <w:tc>
          <w:tcPr>
            <w:tcW w:w="2222" w:type="dxa"/>
            <w:shd w:val="clear" w:color="auto" w:fill="auto"/>
            <w:vAlign w:val="center"/>
          </w:tcPr>
          <w:p w14:paraId="3CC64DB1" w14:textId="7B5D708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26</w:t>
            </w:r>
          </w:p>
        </w:tc>
      </w:tr>
      <w:tr w:rsidR="00B47B7D" w:rsidRPr="000B6B22" w14:paraId="3A2E6086" w14:textId="77777777" w:rsidTr="0059273D">
        <w:tc>
          <w:tcPr>
            <w:tcW w:w="529" w:type="dxa"/>
            <w:vMerge/>
            <w:shd w:val="clear" w:color="auto" w:fill="auto"/>
            <w:vAlign w:val="center"/>
          </w:tcPr>
          <w:p w14:paraId="5EAAB41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5CC104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0985A0B"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Όχι</w:t>
            </w:r>
          </w:p>
        </w:tc>
        <w:tc>
          <w:tcPr>
            <w:tcW w:w="2222" w:type="dxa"/>
            <w:shd w:val="clear" w:color="auto" w:fill="auto"/>
            <w:vAlign w:val="center"/>
          </w:tcPr>
          <w:p w14:paraId="3FC315F6" w14:textId="4AB27382"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27</w:t>
            </w:r>
          </w:p>
        </w:tc>
      </w:tr>
      <w:tr w:rsidR="00B47B7D" w:rsidRPr="000B6B22" w14:paraId="10678CB0" w14:textId="77777777" w:rsidTr="0059273D">
        <w:tc>
          <w:tcPr>
            <w:tcW w:w="529" w:type="dxa"/>
            <w:vMerge w:val="restart"/>
            <w:shd w:val="clear" w:color="auto" w:fill="auto"/>
            <w:vAlign w:val="center"/>
          </w:tcPr>
          <w:p w14:paraId="2039CC93" w14:textId="3B06304C"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26</w:t>
            </w:r>
          </w:p>
        </w:tc>
        <w:tc>
          <w:tcPr>
            <w:tcW w:w="5550" w:type="dxa"/>
            <w:vMerge w:val="restart"/>
            <w:shd w:val="clear" w:color="auto" w:fill="auto"/>
            <w:vAlign w:val="center"/>
          </w:tcPr>
          <w:p w14:paraId="6469D959"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Καταθέσεις χρηματοπιστωτικών πελατών;</w:t>
            </w:r>
          </w:p>
        </w:tc>
        <w:tc>
          <w:tcPr>
            <w:tcW w:w="1305" w:type="dxa"/>
            <w:shd w:val="clear" w:color="auto" w:fill="auto"/>
            <w:vAlign w:val="center"/>
          </w:tcPr>
          <w:p w14:paraId="4BC4232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Ναι</w:t>
            </w:r>
          </w:p>
        </w:tc>
        <w:tc>
          <w:tcPr>
            <w:tcW w:w="2222" w:type="dxa"/>
            <w:shd w:val="clear" w:color="auto" w:fill="auto"/>
            <w:vAlign w:val="center"/>
          </w:tcPr>
          <w:p w14:paraId="3E8506ED"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ID 1.1.4.2</w:t>
            </w:r>
          </w:p>
        </w:tc>
      </w:tr>
      <w:tr w:rsidR="00B47B7D" w:rsidRPr="000B6B22" w14:paraId="6761C925" w14:textId="77777777" w:rsidTr="0059273D">
        <w:tc>
          <w:tcPr>
            <w:tcW w:w="529" w:type="dxa"/>
            <w:vMerge/>
            <w:shd w:val="clear" w:color="auto" w:fill="auto"/>
            <w:vAlign w:val="center"/>
          </w:tcPr>
          <w:p w14:paraId="6F8D0690"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041BF3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5519964"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Όχι</w:t>
            </w:r>
          </w:p>
        </w:tc>
        <w:tc>
          <w:tcPr>
            <w:tcW w:w="2222" w:type="dxa"/>
            <w:shd w:val="clear" w:color="auto" w:fill="auto"/>
            <w:vAlign w:val="center"/>
          </w:tcPr>
          <w:p w14:paraId="66766732"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Κατάταξη σε ένα σχετικό στοιχείο του ID 1.1.4.3</w:t>
            </w:r>
          </w:p>
        </w:tc>
      </w:tr>
      <w:tr w:rsidR="00B47B7D" w:rsidRPr="000B6B22" w14:paraId="5A81A742" w14:textId="77777777" w:rsidTr="0059273D">
        <w:tc>
          <w:tcPr>
            <w:tcW w:w="529" w:type="dxa"/>
            <w:vMerge w:val="restart"/>
            <w:shd w:val="clear" w:color="auto" w:fill="auto"/>
            <w:vAlign w:val="center"/>
          </w:tcPr>
          <w:p w14:paraId="2D6E846F" w14:textId="7777A6ED"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27</w:t>
            </w:r>
          </w:p>
        </w:tc>
        <w:tc>
          <w:tcPr>
            <w:tcW w:w="5550" w:type="dxa"/>
            <w:vMerge w:val="restart"/>
            <w:shd w:val="clear" w:color="auto" w:fill="auto"/>
            <w:vAlign w:val="center"/>
          </w:tcPr>
          <w:p w14:paraId="03DB50B3" w14:textId="77777777" w:rsidR="008D2CDE" w:rsidRPr="000B6B22" w:rsidRDefault="008D2CDE" w:rsidP="009D4EFF">
            <w:pPr>
              <w:pStyle w:val="TableParagraph"/>
              <w:spacing w:after="120"/>
              <w:ind w:left="243" w:right="99"/>
              <w:jc w:val="both"/>
              <w:rPr>
                <w:rFonts w:ascii="Times New Roman" w:eastAsia="Times New Roman" w:hAnsi="Times New Roman"/>
                <w:sz w:val="24"/>
                <w:szCs w:val="24"/>
              </w:rPr>
            </w:pPr>
            <w:r>
              <w:rPr>
                <w:rFonts w:ascii="Times New Roman" w:hAnsi="Times New Roman"/>
                <w:sz w:val="24"/>
              </w:rPr>
              <w:t>Υποχρέωση από εξασφαλισμένες πιστοδοτήσεις και από συναλλαγές με όρους κεφαλαιαγοράς εκτός από παράγωγα και πράξεις ανταλλαγής εξασφαλίσεων;</w:t>
            </w:r>
          </w:p>
        </w:tc>
        <w:tc>
          <w:tcPr>
            <w:tcW w:w="1305" w:type="dxa"/>
            <w:shd w:val="clear" w:color="auto" w:fill="auto"/>
            <w:vAlign w:val="center"/>
          </w:tcPr>
          <w:p w14:paraId="0FB3834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Ναι</w:t>
            </w:r>
          </w:p>
        </w:tc>
        <w:tc>
          <w:tcPr>
            <w:tcW w:w="2222" w:type="dxa"/>
            <w:shd w:val="clear" w:color="auto" w:fill="auto"/>
            <w:vAlign w:val="center"/>
          </w:tcPr>
          <w:p w14:paraId="74BEE5C5" w14:textId="77777777" w:rsidR="008D2CDE" w:rsidRPr="000B6B22" w:rsidRDefault="008D2CDE" w:rsidP="009D4EFF">
            <w:pPr>
              <w:pStyle w:val="TableParagraph"/>
              <w:spacing w:after="120"/>
              <w:ind w:left="298" w:right="160" w:hanging="2"/>
              <w:jc w:val="both"/>
              <w:rPr>
                <w:rFonts w:ascii="Times New Roman" w:eastAsia="Times New Roman" w:hAnsi="Times New Roman"/>
                <w:sz w:val="24"/>
                <w:szCs w:val="24"/>
              </w:rPr>
            </w:pPr>
            <w:r>
              <w:rPr>
                <w:rFonts w:ascii="Times New Roman" w:hAnsi="Times New Roman"/>
                <w:sz w:val="24"/>
              </w:rPr>
              <w:t>Κατάταξη σε ένα σχετικό στοιχείο του ID 1.2</w:t>
            </w:r>
          </w:p>
        </w:tc>
      </w:tr>
      <w:tr w:rsidR="00B47B7D" w:rsidRPr="000B6B22" w14:paraId="1DE0BBC1" w14:textId="77777777" w:rsidTr="0059273D">
        <w:tc>
          <w:tcPr>
            <w:tcW w:w="529" w:type="dxa"/>
            <w:vMerge/>
            <w:shd w:val="clear" w:color="auto" w:fill="auto"/>
            <w:vAlign w:val="center"/>
          </w:tcPr>
          <w:p w14:paraId="3AFA700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4A7DF2F"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729DB7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Όχι</w:t>
            </w:r>
          </w:p>
        </w:tc>
        <w:tc>
          <w:tcPr>
            <w:tcW w:w="2222" w:type="dxa"/>
            <w:shd w:val="clear" w:color="auto" w:fill="auto"/>
            <w:vAlign w:val="center"/>
          </w:tcPr>
          <w:p w14:paraId="0BD5A327"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28</w:t>
            </w:r>
          </w:p>
        </w:tc>
      </w:tr>
      <w:tr w:rsidR="00B47B7D" w:rsidRPr="000B6B22" w14:paraId="41C74871" w14:textId="77777777" w:rsidTr="0059273D">
        <w:tc>
          <w:tcPr>
            <w:tcW w:w="529" w:type="dxa"/>
            <w:vMerge w:val="restart"/>
            <w:shd w:val="clear" w:color="auto" w:fill="auto"/>
            <w:vAlign w:val="center"/>
          </w:tcPr>
          <w:p w14:paraId="518F9183"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28</w:t>
            </w:r>
          </w:p>
        </w:tc>
        <w:tc>
          <w:tcPr>
            <w:tcW w:w="5550" w:type="dxa"/>
            <w:vMerge w:val="restart"/>
            <w:shd w:val="clear" w:color="auto" w:fill="auto"/>
            <w:vAlign w:val="center"/>
          </w:tcPr>
          <w:p w14:paraId="0BCE237D"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Υποχρέωση από πράξεις ανταλλαγής εξασφαλίσεων;</w:t>
            </w:r>
          </w:p>
        </w:tc>
        <w:tc>
          <w:tcPr>
            <w:tcW w:w="1305" w:type="dxa"/>
            <w:shd w:val="clear" w:color="auto" w:fill="auto"/>
            <w:vAlign w:val="center"/>
          </w:tcPr>
          <w:p w14:paraId="7E341E2A"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Ναι</w:t>
            </w:r>
          </w:p>
        </w:tc>
        <w:tc>
          <w:tcPr>
            <w:tcW w:w="2222" w:type="dxa"/>
            <w:shd w:val="clear" w:color="auto" w:fill="auto"/>
            <w:vAlign w:val="center"/>
          </w:tcPr>
          <w:p w14:paraId="30763475" w14:textId="65E21513" w:rsidR="008D2CDE" w:rsidRPr="000B6B22" w:rsidRDefault="008D2CDE" w:rsidP="009D4EFF">
            <w:pPr>
              <w:pStyle w:val="TableParagraph"/>
              <w:spacing w:after="120"/>
              <w:ind w:left="327" w:right="190" w:firstLine="31"/>
              <w:jc w:val="both"/>
              <w:rPr>
                <w:rFonts w:ascii="Times New Roman" w:eastAsia="Times New Roman" w:hAnsi="Times New Roman"/>
                <w:sz w:val="24"/>
                <w:szCs w:val="24"/>
              </w:rPr>
            </w:pPr>
            <w:r>
              <w:rPr>
                <w:rFonts w:ascii="Times New Roman" w:hAnsi="Times New Roman"/>
                <w:sz w:val="24"/>
              </w:rPr>
              <w:t>Κατάταξη σε ένα σχετικό στοιχείο του C75.01 και του ID 1.3 κατά περίπτωση</w:t>
            </w:r>
          </w:p>
        </w:tc>
      </w:tr>
      <w:tr w:rsidR="00B47B7D" w:rsidRPr="000B6B22" w14:paraId="2D8005DB" w14:textId="77777777" w:rsidTr="0059273D">
        <w:tc>
          <w:tcPr>
            <w:tcW w:w="529" w:type="dxa"/>
            <w:vMerge/>
            <w:shd w:val="clear" w:color="auto" w:fill="auto"/>
            <w:vAlign w:val="center"/>
          </w:tcPr>
          <w:p w14:paraId="1532EC06"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D9554E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4E720F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Όχι</w:t>
            </w:r>
          </w:p>
        </w:tc>
        <w:tc>
          <w:tcPr>
            <w:tcW w:w="2222" w:type="dxa"/>
            <w:shd w:val="clear" w:color="auto" w:fill="auto"/>
            <w:vAlign w:val="center"/>
          </w:tcPr>
          <w:p w14:paraId="71E9B2DF"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29</w:t>
            </w:r>
          </w:p>
        </w:tc>
      </w:tr>
      <w:tr w:rsidR="00B47B7D" w:rsidRPr="000B6B22" w14:paraId="6F5B4126" w14:textId="77777777" w:rsidTr="0059273D">
        <w:tc>
          <w:tcPr>
            <w:tcW w:w="529" w:type="dxa"/>
            <w:vMerge w:val="restart"/>
            <w:shd w:val="clear" w:color="auto" w:fill="auto"/>
            <w:vAlign w:val="center"/>
          </w:tcPr>
          <w:p w14:paraId="719B5CB1" w14:textId="2D4F6760"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29</w:t>
            </w:r>
          </w:p>
        </w:tc>
        <w:tc>
          <w:tcPr>
            <w:tcW w:w="5550" w:type="dxa"/>
            <w:vMerge w:val="restart"/>
            <w:shd w:val="clear" w:color="auto" w:fill="auto"/>
            <w:vAlign w:val="center"/>
          </w:tcPr>
          <w:p w14:paraId="703FE131"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Υποχρέωση από την οποία προκύπτει εκροή από παράγωγα σύμφωνα με το άρθρο 30 παράγραφος 4 του ΚΕΚ;</w:t>
            </w:r>
          </w:p>
        </w:tc>
        <w:tc>
          <w:tcPr>
            <w:tcW w:w="1305" w:type="dxa"/>
            <w:shd w:val="clear" w:color="auto" w:fill="auto"/>
            <w:vAlign w:val="center"/>
          </w:tcPr>
          <w:p w14:paraId="5DAF0E6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Ναι</w:t>
            </w:r>
          </w:p>
        </w:tc>
        <w:tc>
          <w:tcPr>
            <w:tcW w:w="2222" w:type="dxa"/>
            <w:shd w:val="clear" w:color="auto" w:fill="auto"/>
            <w:vAlign w:val="center"/>
          </w:tcPr>
          <w:p w14:paraId="1FC8A47E"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ID 1.1.5.5</w:t>
            </w:r>
          </w:p>
        </w:tc>
      </w:tr>
      <w:tr w:rsidR="00B47B7D" w:rsidRPr="000B6B22" w14:paraId="6B45EB9D" w14:textId="77777777" w:rsidTr="0059273D">
        <w:tc>
          <w:tcPr>
            <w:tcW w:w="529" w:type="dxa"/>
            <w:vMerge/>
            <w:shd w:val="clear" w:color="auto" w:fill="auto"/>
            <w:vAlign w:val="center"/>
          </w:tcPr>
          <w:p w14:paraId="1ADF44AB"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25A2353"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709DA67"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Όχι</w:t>
            </w:r>
          </w:p>
        </w:tc>
        <w:tc>
          <w:tcPr>
            <w:tcW w:w="2222" w:type="dxa"/>
            <w:shd w:val="clear" w:color="auto" w:fill="auto"/>
            <w:vAlign w:val="center"/>
          </w:tcPr>
          <w:p w14:paraId="300C848D" w14:textId="5A3D8FD0"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rPr>
              <w:t># 30</w:t>
            </w:r>
          </w:p>
        </w:tc>
      </w:tr>
      <w:tr w:rsidR="00B47B7D" w:rsidRPr="000B6B22" w14:paraId="01706B04" w14:textId="77777777" w:rsidTr="0059273D">
        <w:tc>
          <w:tcPr>
            <w:tcW w:w="529" w:type="dxa"/>
            <w:vMerge w:val="restart"/>
            <w:shd w:val="clear" w:color="auto" w:fill="auto"/>
            <w:vAlign w:val="center"/>
          </w:tcPr>
          <w:p w14:paraId="746CD06E" w14:textId="06C2F269" w:rsidR="008D2CDE" w:rsidRPr="000B6B22" w:rsidRDefault="008D2CDE" w:rsidP="009D4EFF">
            <w:pPr>
              <w:spacing w:before="0"/>
              <w:rPr>
                <w:rFonts w:ascii="Times New Roman" w:eastAsia="Calibri" w:hAnsi="Times New Roman"/>
                <w:sz w:val="24"/>
              </w:rPr>
            </w:pPr>
            <w:r>
              <w:rPr>
                <w:rFonts w:ascii="Times New Roman" w:hAnsi="Times New Roman"/>
                <w:sz w:val="24"/>
              </w:rPr>
              <w:t>30</w:t>
            </w:r>
          </w:p>
        </w:tc>
        <w:tc>
          <w:tcPr>
            <w:tcW w:w="5550" w:type="dxa"/>
            <w:vMerge w:val="restart"/>
            <w:shd w:val="clear" w:color="auto" w:fill="auto"/>
            <w:vAlign w:val="center"/>
          </w:tcPr>
          <w:p w14:paraId="0D850978" w14:textId="77777777" w:rsidR="008D2CDE" w:rsidRPr="000B6B22" w:rsidRDefault="008D2CDE" w:rsidP="009D4EFF">
            <w:pPr>
              <w:spacing w:before="0"/>
              <w:rPr>
                <w:rFonts w:ascii="Times New Roman" w:eastAsia="Calibri" w:hAnsi="Times New Roman"/>
                <w:sz w:val="24"/>
              </w:rPr>
            </w:pPr>
            <w:r>
              <w:rPr>
                <w:rFonts w:ascii="Times New Roman" w:hAnsi="Times New Roman"/>
                <w:sz w:val="24"/>
              </w:rPr>
              <w:t>Κάθε άλλη υποχρέωση που καθίσταται απαιτητή εντός των επόμενων 30 ημερών;</w:t>
            </w:r>
          </w:p>
        </w:tc>
        <w:tc>
          <w:tcPr>
            <w:tcW w:w="1305" w:type="dxa"/>
            <w:shd w:val="clear" w:color="auto" w:fill="auto"/>
            <w:vAlign w:val="center"/>
          </w:tcPr>
          <w:p w14:paraId="43C8FDA9"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rPr>
              <w:t>Ναι</w:t>
            </w:r>
          </w:p>
        </w:tc>
        <w:tc>
          <w:tcPr>
            <w:tcW w:w="2222" w:type="dxa"/>
            <w:shd w:val="clear" w:color="auto" w:fill="auto"/>
            <w:vAlign w:val="center"/>
          </w:tcPr>
          <w:p w14:paraId="10B817A9" w14:textId="77777777"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rPr>
              <w:t>ID 1.1.8.3</w:t>
            </w:r>
          </w:p>
        </w:tc>
      </w:tr>
      <w:tr w:rsidR="00B47B7D" w:rsidRPr="000B6B22" w14:paraId="47A98050" w14:textId="77777777" w:rsidTr="0059273D">
        <w:tc>
          <w:tcPr>
            <w:tcW w:w="529" w:type="dxa"/>
            <w:vMerge/>
            <w:shd w:val="clear" w:color="auto" w:fill="auto"/>
            <w:vAlign w:val="center"/>
          </w:tcPr>
          <w:p w14:paraId="50C629E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D427EA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B00A128"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rPr>
              <w:t>Όχι</w:t>
            </w:r>
          </w:p>
        </w:tc>
        <w:tc>
          <w:tcPr>
            <w:tcW w:w="2222" w:type="dxa"/>
            <w:shd w:val="clear" w:color="auto" w:fill="auto"/>
            <w:vAlign w:val="center"/>
          </w:tcPr>
          <w:p w14:paraId="42335DFD" w14:textId="7FDA636F"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rPr>
              <w:t># 31</w:t>
            </w:r>
          </w:p>
        </w:tc>
      </w:tr>
      <w:tr w:rsidR="00B47B7D" w:rsidRPr="000B6B22" w14:paraId="30E0E049" w14:textId="77777777" w:rsidTr="0059273D">
        <w:tc>
          <w:tcPr>
            <w:tcW w:w="529" w:type="dxa"/>
            <w:shd w:val="clear" w:color="auto" w:fill="auto"/>
            <w:vAlign w:val="center"/>
          </w:tcPr>
          <w:p w14:paraId="4CAC48E4" w14:textId="7825897D" w:rsidR="008D2CDE" w:rsidRPr="000B6B22" w:rsidRDefault="008D2CDE" w:rsidP="009D4EFF">
            <w:pPr>
              <w:spacing w:before="0"/>
              <w:rPr>
                <w:rFonts w:ascii="Times New Roman" w:eastAsia="Calibri" w:hAnsi="Times New Roman"/>
                <w:sz w:val="24"/>
              </w:rPr>
            </w:pPr>
            <w:r>
              <w:rPr>
                <w:rFonts w:ascii="Times New Roman" w:hAnsi="Times New Roman"/>
                <w:sz w:val="24"/>
              </w:rPr>
              <w:t>31</w:t>
            </w:r>
          </w:p>
        </w:tc>
        <w:tc>
          <w:tcPr>
            <w:tcW w:w="5550" w:type="dxa"/>
            <w:shd w:val="clear" w:color="auto" w:fill="auto"/>
            <w:vAlign w:val="center"/>
          </w:tcPr>
          <w:p w14:paraId="087525C7" w14:textId="77777777" w:rsidR="008D2CDE" w:rsidRPr="000B6B22" w:rsidRDefault="008D2CDE" w:rsidP="009D4EFF">
            <w:pPr>
              <w:spacing w:before="0"/>
              <w:rPr>
                <w:rFonts w:ascii="Times New Roman" w:eastAsia="Calibri" w:hAnsi="Times New Roman"/>
                <w:sz w:val="24"/>
              </w:rPr>
            </w:pPr>
            <w:r>
              <w:rPr>
                <w:rFonts w:ascii="Times New Roman" w:hAnsi="Times New Roman"/>
                <w:sz w:val="24"/>
              </w:rPr>
              <w:t>Συμβατικές δεσμεύσεις για τη χορήγηση χρηματοδότησης σε μη χρηματοπιστωτικούς πελάτες που είναι απαιτητή εντός των επόμενων 30 ημερών και υπερβαίνει τις εισροές από τους εν λόγω πελάτες;</w:t>
            </w:r>
          </w:p>
        </w:tc>
        <w:tc>
          <w:tcPr>
            <w:tcW w:w="1305" w:type="dxa"/>
            <w:shd w:val="clear" w:color="auto" w:fill="auto"/>
            <w:vAlign w:val="center"/>
          </w:tcPr>
          <w:p w14:paraId="1136F9B2"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rPr>
              <w:t>Ναι</w:t>
            </w:r>
          </w:p>
        </w:tc>
        <w:tc>
          <w:tcPr>
            <w:tcW w:w="2222" w:type="dxa"/>
            <w:shd w:val="clear" w:color="auto" w:fill="auto"/>
            <w:vAlign w:val="center"/>
          </w:tcPr>
          <w:p w14:paraId="0515D033" w14:textId="77777777"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rPr>
              <w:t>Ένα από τα ακόλουθα ID: 1.1.8.4.1 έως 1.1.8.4.4</w:t>
            </w:r>
          </w:p>
        </w:tc>
      </w:tr>
      <w:tr w:rsidR="00B47B7D" w:rsidRPr="000B6B22" w14:paraId="187C9A1C" w14:textId="77777777" w:rsidTr="0059273D">
        <w:tc>
          <w:tcPr>
            <w:tcW w:w="529" w:type="dxa"/>
            <w:shd w:val="clear" w:color="auto" w:fill="auto"/>
            <w:vAlign w:val="center"/>
          </w:tcPr>
          <w:p w14:paraId="3E092D5B" w14:textId="77777777" w:rsidR="008D2CDE" w:rsidRPr="000B6B22" w:rsidRDefault="008D2CDE" w:rsidP="009D4EFF">
            <w:pPr>
              <w:spacing w:before="0"/>
              <w:rPr>
                <w:rFonts w:ascii="Times New Roman" w:eastAsia="Calibri" w:hAnsi="Times New Roman"/>
                <w:sz w:val="24"/>
              </w:rPr>
            </w:pPr>
          </w:p>
        </w:tc>
        <w:tc>
          <w:tcPr>
            <w:tcW w:w="5550" w:type="dxa"/>
            <w:shd w:val="clear" w:color="auto" w:fill="auto"/>
            <w:vAlign w:val="center"/>
          </w:tcPr>
          <w:p w14:paraId="011DD7ED"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0F146BB"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rPr>
              <w:t>Όχι</w:t>
            </w:r>
          </w:p>
        </w:tc>
        <w:tc>
          <w:tcPr>
            <w:tcW w:w="2222" w:type="dxa"/>
            <w:shd w:val="clear" w:color="auto" w:fill="auto"/>
            <w:vAlign w:val="center"/>
          </w:tcPr>
          <w:p w14:paraId="73337782" w14:textId="53187D77"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rPr>
              <w:t># 32</w:t>
            </w:r>
          </w:p>
        </w:tc>
      </w:tr>
      <w:tr w:rsidR="00B47B7D" w:rsidRPr="000B6B22" w14:paraId="2B2FAD94" w14:textId="77777777" w:rsidTr="0059273D">
        <w:tc>
          <w:tcPr>
            <w:tcW w:w="529" w:type="dxa"/>
            <w:vMerge w:val="restart"/>
            <w:shd w:val="clear" w:color="auto" w:fill="auto"/>
            <w:vAlign w:val="center"/>
          </w:tcPr>
          <w:p w14:paraId="7F30DC97" w14:textId="6D921E36" w:rsidR="008D2CDE" w:rsidRPr="000B6B22" w:rsidRDefault="008D2CDE" w:rsidP="009D4EFF">
            <w:pPr>
              <w:spacing w:before="0"/>
              <w:rPr>
                <w:rFonts w:ascii="Times New Roman" w:eastAsia="Calibri" w:hAnsi="Times New Roman"/>
                <w:sz w:val="24"/>
              </w:rPr>
            </w:pPr>
            <w:r>
              <w:rPr>
                <w:rFonts w:ascii="Times New Roman" w:hAnsi="Times New Roman"/>
                <w:sz w:val="24"/>
              </w:rPr>
              <w:t>32</w:t>
            </w:r>
          </w:p>
        </w:tc>
        <w:tc>
          <w:tcPr>
            <w:tcW w:w="5550" w:type="dxa"/>
            <w:vMerge w:val="restart"/>
            <w:shd w:val="clear" w:color="auto" w:fill="auto"/>
            <w:vAlign w:val="center"/>
          </w:tcPr>
          <w:p w14:paraId="108B8472" w14:textId="77777777" w:rsidR="008D2CDE" w:rsidRPr="000B6B22" w:rsidRDefault="008D2CDE" w:rsidP="009D4EFF">
            <w:pPr>
              <w:spacing w:before="0"/>
              <w:rPr>
                <w:rFonts w:ascii="Times New Roman" w:eastAsia="Calibri" w:hAnsi="Times New Roman"/>
                <w:sz w:val="24"/>
              </w:rPr>
            </w:pPr>
            <w:r>
              <w:rPr>
                <w:rFonts w:ascii="Times New Roman" w:hAnsi="Times New Roman"/>
                <w:sz w:val="24"/>
              </w:rPr>
              <w:t>Άλλες εκροές που είναι απαιτητές εντός των επόμενων 30 ημερών και οι οποίες δεν αναφέρονται ανωτέρω;</w:t>
            </w:r>
          </w:p>
        </w:tc>
        <w:tc>
          <w:tcPr>
            <w:tcW w:w="1305" w:type="dxa"/>
            <w:shd w:val="clear" w:color="auto" w:fill="auto"/>
            <w:vAlign w:val="center"/>
          </w:tcPr>
          <w:p w14:paraId="5364B8FE"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rPr>
              <w:t>Ναι</w:t>
            </w:r>
          </w:p>
        </w:tc>
        <w:tc>
          <w:tcPr>
            <w:tcW w:w="2222" w:type="dxa"/>
            <w:shd w:val="clear" w:color="auto" w:fill="auto"/>
            <w:vAlign w:val="center"/>
          </w:tcPr>
          <w:p w14:paraId="5A19CF39" w14:textId="77777777"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rPr>
              <w:t>ID 1.1.8.6</w:t>
            </w:r>
          </w:p>
        </w:tc>
      </w:tr>
      <w:tr w:rsidR="00B47B7D" w:rsidRPr="000B6B22" w14:paraId="7E4EE81B" w14:textId="77777777" w:rsidTr="0059273D">
        <w:tc>
          <w:tcPr>
            <w:tcW w:w="529" w:type="dxa"/>
            <w:vMerge/>
            <w:shd w:val="clear" w:color="auto" w:fill="auto"/>
            <w:vAlign w:val="center"/>
          </w:tcPr>
          <w:p w14:paraId="5F22C18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36681A6"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E88ACF3"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rPr>
              <w:t>Όχι</w:t>
            </w:r>
          </w:p>
        </w:tc>
        <w:tc>
          <w:tcPr>
            <w:tcW w:w="2222" w:type="dxa"/>
            <w:shd w:val="clear" w:color="auto" w:fill="auto"/>
            <w:vAlign w:val="center"/>
          </w:tcPr>
          <w:p w14:paraId="7C5FB27A" w14:textId="199DF19C"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rPr>
              <w:t># 33</w:t>
            </w:r>
          </w:p>
        </w:tc>
      </w:tr>
      <w:tr w:rsidR="00B47B7D" w:rsidRPr="000B6B22" w14:paraId="576C9F02" w14:textId="77777777" w:rsidTr="0059273D">
        <w:tc>
          <w:tcPr>
            <w:tcW w:w="529" w:type="dxa"/>
            <w:vMerge w:val="restart"/>
            <w:shd w:val="clear" w:color="auto" w:fill="auto"/>
            <w:vAlign w:val="center"/>
          </w:tcPr>
          <w:p w14:paraId="342B4254" w14:textId="5B4AA80A"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33</w:t>
            </w:r>
          </w:p>
        </w:tc>
        <w:tc>
          <w:tcPr>
            <w:tcW w:w="5550" w:type="dxa"/>
            <w:vMerge w:val="restart"/>
            <w:shd w:val="clear" w:color="auto" w:fill="auto"/>
            <w:vAlign w:val="center"/>
          </w:tcPr>
          <w:p w14:paraId="7A9C675B" w14:textId="77777777" w:rsidR="008D2CDE" w:rsidRPr="000B6B22" w:rsidRDefault="008D2CDE" w:rsidP="009D4EFF">
            <w:pPr>
              <w:pStyle w:val="TableParagraph"/>
              <w:spacing w:after="120"/>
              <w:ind w:left="243" w:right="99"/>
              <w:jc w:val="both"/>
              <w:rPr>
                <w:rFonts w:ascii="Times New Roman" w:eastAsia="Times New Roman" w:hAnsi="Times New Roman"/>
                <w:sz w:val="24"/>
                <w:szCs w:val="24"/>
              </w:rPr>
            </w:pPr>
            <w:r>
              <w:rPr>
                <w:rFonts w:ascii="Times New Roman" w:hAnsi="Times New Roman"/>
                <w:sz w:val="24"/>
              </w:rPr>
              <w:t>Μη αναληφθέν ποσό που μπορεί να αναληφθεί από δεσμευμένες πιστωτικές διευκολύνσεις και διευκολύνσεις ρευστότητας σύμφωνα με το άρθρο 31 του ΚΕΚ;</w:t>
            </w:r>
          </w:p>
        </w:tc>
        <w:tc>
          <w:tcPr>
            <w:tcW w:w="1305" w:type="dxa"/>
            <w:shd w:val="clear" w:color="auto" w:fill="auto"/>
            <w:vAlign w:val="center"/>
          </w:tcPr>
          <w:p w14:paraId="5D35FBE7"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Ναι</w:t>
            </w:r>
          </w:p>
        </w:tc>
        <w:tc>
          <w:tcPr>
            <w:tcW w:w="2222" w:type="dxa"/>
            <w:shd w:val="clear" w:color="auto" w:fill="auto"/>
            <w:vAlign w:val="center"/>
          </w:tcPr>
          <w:p w14:paraId="7B0DB1D8" w14:textId="5A1D749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34</w:t>
            </w:r>
          </w:p>
        </w:tc>
      </w:tr>
      <w:tr w:rsidR="00B47B7D" w:rsidRPr="000B6B22" w14:paraId="143D8A93" w14:textId="77777777" w:rsidTr="0059273D">
        <w:tc>
          <w:tcPr>
            <w:tcW w:w="529" w:type="dxa"/>
            <w:vMerge/>
            <w:shd w:val="clear" w:color="auto" w:fill="auto"/>
            <w:vAlign w:val="center"/>
          </w:tcPr>
          <w:p w14:paraId="7D1CED2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9C32B24"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F5AD7A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Όχι</w:t>
            </w:r>
          </w:p>
        </w:tc>
        <w:tc>
          <w:tcPr>
            <w:tcW w:w="2222" w:type="dxa"/>
            <w:shd w:val="clear" w:color="auto" w:fill="auto"/>
            <w:vAlign w:val="center"/>
          </w:tcPr>
          <w:p w14:paraId="4B0EDCE8" w14:textId="370E2FA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42</w:t>
            </w:r>
          </w:p>
        </w:tc>
      </w:tr>
      <w:tr w:rsidR="00B47B7D" w:rsidRPr="000B6B22" w14:paraId="3E3B2925" w14:textId="77777777" w:rsidTr="0059273D">
        <w:tc>
          <w:tcPr>
            <w:tcW w:w="529" w:type="dxa"/>
            <w:vMerge w:val="restart"/>
            <w:shd w:val="clear" w:color="auto" w:fill="auto"/>
            <w:vAlign w:val="center"/>
          </w:tcPr>
          <w:p w14:paraId="17F9D829" w14:textId="3646E3FF"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34</w:t>
            </w:r>
          </w:p>
        </w:tc>
        <w:tc>
          <w:tcPr>
            <w:tcW w:w="5550" w:type="dxa"/>
            <w:vMerge w:val="restart"/>
            <w:shd w:val="clear" w:color="auto" w:fill="auto"/>
            <w:vAlign w:val="center"/>
          </w:tcPr>
          <w:p w14:paraId="66E65D8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Δεσμευμένη πιστωτική διευκόλυνση;</w:t>
            </w:r>
          </w:p>
        </w:tc>
        <w:tc>
          <w:tcPr>
            <w:tcW w:w="1305" w:type="dxa"/>
            <w:shd w:val="clear" w:color="auto" w:fill="auto"/>
            <w:vAlign w:val="center"/>
          </w:tcPr>
          <w:p w14:paraId="2EA0076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Ναι</w:t>
            </w:r>
          </w:p>
        </w:tc>
        <w:tc>
          <w:tcPr>
            <w:tcW w:w="2222" w:type="dxa"/>
            <w:shd w:val="clear" w:color="auto" w:fill="auto"/>
            <w:vAlign w:val="center"/>
          </w:tcPr>
          <w:p w14:paraId="4C499738" w14:textId="58A58EAB"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35</w:t>
            </w:r>
          </w:p>
        </w:tc>
      </w:tr>
      <w:tr w:rsidR="00B47B7D" w:rsidRPr="000B6B22" w14:paraId="40FB72DD" w14:textId="77777777" w:rsidTr="0059273D">
        <w:tc>
          <w:tcPr>
            <w:tcW w:w="529" w:type="dxa"/>
            <w:vMerge/>
            <w:shd w:val="clear" w:color="auto" w:fill="auto"/>
            <w:vAlign w:val="center"/>
          </w:tcPr>
          <w:p w14:paraId="573C38C6"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C5AF945"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091990C8"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Όχι</w:t>
            </w:r>
          </w:p>
        </w:tc>
        <w:tc>
          <w:tcPr>
            <w:tcW w:w="2222" w:type="dxa"/>
            <w:shd w:val="clear" w:color="auto" w:fill="auto"/>
            <w:vAlign w:val="center"/>
          </w:tcPr>
          <w:p w14:paraId="34D3EB6D"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37</w:t>
            </w:r>
          </w:p>
        </w:tc>
      </w:tr>
      <w:tr w:rsidR="00B47B7D" w:rsidRPr="000B6B22" w14:paraId="6FF8E51F" w14:textId="77777777" w:rsidTr="0059273D">
        <w:tc>
          <w:tcPr>
            <w:tcW w:w="529" w:type="dxa"/>
            <w:vMerge w:val="restart"/>
            <w:shd w:val="clear" w:color="auto" w:fill="auto"/>
            <w:vAlign w:val="center"/>
          </w:tcPr>
          <w:p w14:paraId="09725FF4"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35</w:t>
            </w:r>
          </w:p>
        </w:tc>
        <w:tc>
          <w:tcPr>
            <w:tcW w:w="5550" w:type="dxa"/>
            <w:vMerge w:val="restart"/>
            <w:shd w:val="clear" w:color="auto" w:fill="auto"/>
            <w:vAlign w:val="center"/>
          </w:tcPr>
          <w:p w14:paraId="03D7DB0D"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Εντός ΘΣΠ ή συνεταιριστικού δικτύου αντιμετωπίζονται ως ρευστά στοιχεία ενεργητικού από το ίδρυμα που πραγματοποιεί την κατάθεση;</w:t>
            </w:r>
          </w:p>
        </w:tc>
        <w:tc>
          <w:tcPr>
            <w:tcW w:w="1305" w:type="dxa"/>
            <w:shd w:val="clear" w:color="auto" w:fill="auto"/>
            <w:vAlign w:val="center"/>
          </w:tcPr>
          <w:p w14:paraId="0AFB392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Ναι</w:t>
            </w:r>
          </w:p>
        </w:tc>
        <w:tc>
          <w:tcPr>
            <w:tcW w:w="2222" w:type="dxa"/>
            <w:shd w:val="clear" w:color="auto" w:fill="auto"/>
            <w:vAlign w:val="center"/>
          </w:tcPr>
          <w:p w14:paraId="62CD1058"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rPr>
              <w:t>ID 1.1.6.1.6.</w:t>
            </w:r>
          </w:p>
        </w:tc>
      </w:tr>
      <w:tr w:rsidR="00B47B7D" w:rsidRPr="000B6B22" w14:paraId="180164B8" w14:textId="77777777" w:rsidTr="0059273D">
        <w:tc>
          <w:tcPr>
            <w:tcW w:w="529" w:type="dxa"/>
            <w:vMerge/>
            <w:shd w:val="clear" w:color="auto" w:fill="auto"/>
            <w:vAlign w:val="center"/>
          </w:tcPr>
          <w:p w14:paraId="3A7AB85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0FED8F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BD66322"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Όχι</w:t>
            </w:r>
          </w:p>
        </w:tc>
        <w:tc>
          <w:tcPr>
            <w:tcW w:w="2222" w:type="dxa"/>
            <w:shd w:val="clear" w:color="auto" w:fill="auto"/>
            <w:vAlign w:val="center"/>
          </w:tcPr>
          <w:p w14:paraId="0AA5DC4E"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36</w:t>
            </w:r>
          </w:p>
        </w:tc>
      </w:tr>
      <w:tr w:rsidR="00B47B7D" w:rsidRPr="000B6B22" w14:paraId="0405636A" w14:textId="77777777" w:rsidTr="0059273D">
        <w:tc>
          <w:tcPr>
            <w:tcW w:w="529" w:type="dxa"/>
            <w:vMerge w:val="restart"/>
            <w:shd w:val="clear" w:color="auto" w:fill="auto"/>
            <w:vAlign w:val="center"/>
          </w:tcPr>
          <w:p w14:paraId="0881AC28" w14:textId="625F1893"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36</w:t>
            </w:r>
          </w:p>
        </w:tc>
        <w:tc>
          <w:tcPr>
            <w:tcW w:w="5550" w:type="dxa"/>
            <w:vMerge w:val="restart"/>
            <w:shd w:val="clear" w:color="auto" w:fill="auto"/>
            <w:vAlign w:val="center"/>
          </w:tcPr>
          <w:p w14:paraId="71B62EA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Εντός ομίλου ή ΘΣΠ που υπόκειται σε προτιμησιακή μεταχείριση;</w:t>
            </w:r>
          </w:p>
        </w:tc>
        <w:tc>
          <w:tcPr>
            <w:tcW w:w="1305" w:type="dxa"/>
            <w:shd w:val="clear" w:color="auto" w:fill="auto"/>
            <w:vAlign w:val="center"/>
          </w:tcPr>
          <w:p w14:paraId="7529B33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Ναι</w:t>
            </w:r>
          </w:p>
        </w:tc>
        <w:tc>
          <w:tcPr>
            <w:tcW w:w="2222" w:type="dxa"/>
            <w:shd w:val="clear" w:color="auto" w:fill="auto"/>
            <w:vAlign w:val="center"/>
          </w:tcPr>
          <w:p w14:paraId="5BCDDF89"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rPr>
              <w:t>ID 1.1.6.1.5.</w:t>
            </w:r>
          </w:p>
        </w:tc>
      </w:tr>
      <w:tr w:rsidR="00B47B7D" w:rsidRPr="000B6B22" w14:paraId="03E07AED" w14:textId="77777777" w:rsidTr="0059273D">
        <w:tc>
          <w:tcPr>
            <w:tcW w:w="529" w:type="dxa"/>
            <w:vMerge/>
            <w:shd w:val="clear" w:color="auto" w:fill="auto"/>
            <w:vAlign w:val="center"/>
          </w:tcPr>
          <w:p w14:paraId="5DC3886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155191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8B10F68"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Όχι</w:t>
            </w:r>
          </w:p>
        </w:tc>
        <w:tc>
          <w:tcPr>
            <w:tcW w:w="2222" w:type="dxa"/>
            <w:shd w:val="clear" w:color="auto" w:fill="auto"/>
            <w:vAlign w:val="center"/>
          </w:tcPr>
          <w:p w14:paraId="2BA8C028" w14:textId="77777777" w:rsidR="008D2CDE" w:rsidRPr="000B6B22" w:rsidRDefault="008D2CDE" w:rsidP="009D4EFF">
            <w:pPr>
              <w:pStyle w:val="TableParagraph"/>
              <w:spacing w:after="120"/>
              <w:ind w:left="298" w:right="165" w:firstLine="3"/>
              <w:jc w:val="both"/>
              <w:rPr>
                <w:rFonts w:ascii="Times New Roman" w:eastAsia="Times New Roman" w:hAnsi="Times New Roman"/>
                <w:sz w:val="24"/>
                <w:szCs w:val="24"/>
              </w:rPr>
            </w:pPr>
            <w:r>
              <w:rPr>
                <w:rFonts w:ascii="Times New Roman" w:hAnsi="Times New Roman"/>
                <w:sz w:val="24"/>
              </w:rPr>
              <w:t>Κατάταξη σε ένα σχετικό εναπομένον στοιχείο του ID 1.1.6.1</w:t>
            </w:r>
          </w:p>
        </w:tc>
      </w:tr>
      <w:tr w:rsidR="00B47B7D" w:rsidRPr="000B6B22" w14:paraId="6EC6F297" w14:textId="77777777" w:rsidTr="0059273D">
        <w:tc>
          <w:tcPr>
            <w:tcW w:w="529" w:type="dxa"/>
            <w:vMerge w:val="restart"/>
            <w:shd w:val="clear" w:color="auto" w:fill="auto"/>
            <w:vAlign w:val="center"/>
          </w:tcPr>
          <w:p w14:paraId="55D89902" w14:textId="753EB32A"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37</w:t>
            </w:r>
          </w:p>
        </w:tc>
        <w:tc>
          <w:tcPr>
            <w:tcW w:w="5550" w:type="dxa"/>
            <w:vMerge w:val="restart"/>
            <w:shd w:val="clear" w:color="auto" w:fill="auto"/>
            <w:vAlign w:val="center"/>
          </w:tcPr>
          <w:p w14:paraId="7172C36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Δεσμευμένη διευκόλυνση ρευστότητας;</w:t>
            </w:r>
          </w:p>
        </w:tc>
        <w:tc>
          <w:tcPr>
            <w:tcW w:w="1305" w:type="dxa"/>
            <w:shd w:val="clear" w:color="auto" w:fill="auto"/>
            <w:vAlign w:val="center"/>
          </w:tcPr>
          <w:p w14:paraId="5AC04DC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Ναι</w:t>
            </w:r>
          </w:p>
        </w:tc>
        <w:tc>
          <w:tcPr>
            <w:tcW w:w="2222" w:type="dxa"/>
            <w:shd w:val="clear" w:color="auto" w:fill="auto"/>
            <w:vAlign w:val="center"/>
          </w:tcPr>
          <w:p w14:paraId="1E744D52" w14:textId="016C447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38</w:t>
            </w:r>
          </w:p>
        </w:tc>
      </w:tr>
      <w:tr w:rsidR="00B47B7D" w:rsidRPr="000B6B22" w14:paraId="565963D2" w14:textId="77777777" w:rsidTr="0059273D">
        <w:tc>
          <w:tcPr>
            <w:tcW w:w="529" w:type="dxa"/>
            <w:vMerge/>
            <w:shd w:val="clear" w:color="auto" w:fill="auto"/>
            <w:vAlign w:val="center"/>
          </w:tcPr>
          <w:p w14:paraId="615586B6"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91DD7B3"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8E8B0DC"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Άνευ αντικειμένου</w:t>
            </w:r>
          </w:p>
        </w:tc>
        <w:tc>
          <w:tcPr>
            <w:tcW w:w="2222" w:type="dxa"/>
            <w:shd w:val="clear" w:color="auto" w:fill="auto"/>
            <w:vAlign w:val="center"/>
          </w:tcPr>
          <w:p w14:paraId="11D5E907" w14:textId="77777777" w:rsidR="008D2CDE" w:rsidRPr="000B6B22" w:rsidRDefault="008D2CDE" w:rsidP="009D4EFF">
            <w:pPr>
              <w:pStyle w:val="TableParagraph"/>
              <w:spacing w:after="120"/>
              <w:ind w:left="131"/>
              <w:jc w:val="both"/>
              <w:rPr>
                <w:rFonts w:ascii="Times New Roman" w:eastAsia="Times New Roman" w:hAnsi="Times New Roman"/>
                <w:sz w:val="24"/>
                <w:szCs w:val="24"/>
              </w:rPr>
            </w:pPr>
            <w:r>
              <w:rPr>
                <w:rFonts w:ascii="Times New Roman" w:hAnsi="Times New Roman"/>
                <w:sz w:val="24"/>
              </w:rPr>
              <w:t>Άνευ αντικειμένου</w:t>
            </w:r>
          </w:p>
        </w:tc>
      </w:tr>
      <w:tr w:rsidR="00B47B7D" w:rsidRPr="000B6B22" w14:paraId="5C4FF821" w14:textId="77777777" w:rsidTr="0059273D">
        <w:tc>
          <w:tcPr>
            <w:tcW w:w="529" w:type="dxa"/>
            <w:vMerge w:val="restart"/>
            <w:shd w:val="clear" w:color="auto" w:fill="auto"/>
            <w:vAlign w:val="center"/>
          </w:tcPr>
          <w:p w14:paraId="3E57448F" w14:textId="318AC2B9"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38</w:t>
            </w:r>
          </w:p>
        </w:tc>
        <w:tc>
          <w:tcPr>
            <w:tcW w:w="5550" w:type="dxa"/>
            <w:vMerge w:val="restart"/>
            <w:shd w:val="clear" w:color="auto" w:fill="auto"/>
            <w:vAlign w:val="center"/>
          </w:tcPr>
          <w:p w14:paraId="34EDF08D"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Εντός ΘΣΠ ή συνεταιριστικού δικτύου αντιμετωπίζονται ως ρευστά στοιχεία ενεργητικού από το ίδρυμα που πραγματοποιεί την κατάθεση;</w:t>
            </w:r>
          </w:p>
        </w:tc>
        <w:tc>
          <w:tcPr>
            <w:tcW w:w="1305" w:type="dxa"/>
            <w:shd w:val="clear" w:color="auto" w:fill="auto"/>
            <w:vAlign w:val="center"/>
          </w:tcPr>
          <w:p w14:paraId="27321975"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Ναι</w:t>
            </w:r>
          </w:p>
        </w:tc>
        <w:tc>
          <w:tcPr>
            <w:tcW w:w="2222" w:type="dxa"/>
            <w:shd w:val="clear" w:color="auto" w:fill="auto"/>
            <w:vAlign w:val="center"/>
          </w:tcPr>
          <w:p w14:paraId="480754E0"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rPr>
              <w:t>ID 1.1.6.2.7.</w:t>
            </w:r>
          </w:p>
        </w:tc>
      </w:tr>
      <w:tr w:rsidR="00B47B7D" w:rsidRPr="000B6B22" w14:paraId="40666116" w14:textId="77777777" w:rsidTr="0059273D">
        <w:tc>
          <w:tcPr>
            <w:tcW w:w="529" w:type="dxa"/>
            <w:vMerge/>
            <w:shd w:val="clear" w:color="auto" w:fill="auto"/>
            <w:vAlign w:val="center"/>
          </w:tcPr>
          <w:p w14:paraId="02EEF34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3F7330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D6E27CE"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Όχι</w:t>
            </w:r>
          </w:p>
        </w:tc>
        <w:tc>
          <w:tcPr>
            <w:tcW w:w="2222" w:type="dxa"/>
            <w:shd w:val="clear" w:color="auto" w:fill="auto"/>
            <w:vAlign w:val="center"/>
          </w:tcPr>
          <w:p w14:paraId="65F9EF83"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39</w:t>
            </w:r>
          </w:p>
        </w:tc>
      </w:tr>
      <w:tr w:rsidR="00B47B7D" w:rsidRPr="000B6B22" w14:paraId="45E66C8B" w14:textId="77777777" w:rsidTr="0059273D">
        <w:tc>
          <w:tcPr>
            <w:tcW w:w="529" w:type="dxa"/>
            <w:vMerge w:val="restart"/>
            <w:shd w:val="clear" w:color="auto" w:fill="auto"/>
            <w:vAlign w:val="center"/>
          </w:tcPr>
          <w:p w14:paraId="32A7636F"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39</w:t>
            </w:r>
          </w:p>
        </w:tc>
        <w:tc>
          <w:tcPr>
            <w:tcW w:w="5550" w:type="dxa"/>
            <w:vMerge w:val="restart"/>
            <w:shd w:val="clear" w:color="auto" w:fill="auto"/>
            <w:vAlign w:val="center"/>
          </w:tcPr>
          <w:p w14:paraId="5A9E560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Εντός ομίλου ή ΘΣΠ που υπόκειται σε προτιμησιακή μεταχείριση;</w:t>
            </w:r>
          </w:p>
        </w:tc>
        <w:tc>
          <w:tcPr>
            <w:tcW w:w="1305" w:type="dxa"/>
            <w:shd w:val="clear" w:color="auto" w:fill="auto"/>
            <w:vAlign w:val="center"/>
          </w:tcPr>
          <w:p w14:paraId="0756B63E"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Ναι</w:t>
            </w:r>
          </w:p>
        </w:tc>
        <w:tc>
          <w:tcPr>
            <w:tcW w:w="2222" w:type="dxa"/>
            <w:shd w:val="clear" w:color="auto" w:fill="auto"/>
            <w:vAlign w:val="center"/>
          </w:tcPr>
          <w:p w14:paraId="249A1362"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rPr>
              <w:t>ID 1.1.6.2.6.</w:t>
            </w:r>
          </w:p>
        </w:tc>
      </w:tr>
      <w:tr w:rsidR="00B47B7D" w:rsidRPr="000B6B22" w14:paraId="374D727C" w14:textId="77777777" w:rsidTr="0059273D">
        <w:tc>
          <w:tcPr>
            <w:tcW w:w="529" w:type="dxa"/>
            <w:vMerge/>
            <w:shd w:val="clear" w:color="auto" w:fill="auto"/>
            <w:vAlign w:val="center"/>
          </w:tcPr>
          <w:p w14:paraId="33DEF77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BC7C04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09286B44"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Όχι</w:t>
            </w:r>
          </w:p>
        </w:tc>
        <w:tc>
          <w:tcPr>
            <w:tcW w:w="2222" w:type="dxa"/>
            <w:shd w:val="clear" w:color="auto" w:fill="auto"/>
            <w:vAlign w:val="center"/>
          </w:tcPr>
          <w:p w14:paraId="6EA7D2C3"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40</w:t>
            </w:r>
          </w:p>
        </w:tc>
      </w:tr>
      <w:tr w:rsidR="00B47B7D" w:rsidRPr="000B6B22" w14:paraId="06D1E558" w14:textId="77777777" w:rsidTr="0059273D">
        <w:tc>
          <w:tcPr>
            <w:tcW w:w="529" w:type="dxa"/>
            <w:vMerge w:val="restart"/>
            <w:shd w:val="clear" w:color="auto" w:fill="auto"/>
            <w:vAlign w:val="center"/>
          </w:tcPr>
          <w:p w14:paraId="5BA0601D" w14:textId="22ED052F"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40</w:t>
            </w:r>
          </w:p>
        </w:tc>
        <w:tc>
          <w:tcPr>
            <w:tcW w:w="5550" w:type="dxa"/>
            <w:vMerge w:val="restart"/>
            <w:shd w:val="clear" w:color="auto" w:fill="auto"/>
            <w:vAlign w:val="center"/>
          </w:tcPr>
          <w:p w14:paraId="32941778"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Σε ΟΕΣΤ;</w:t>
            </w:r>
          </w:p>
        </w:tc>
        <w:tc>
          <w:tcPr>
            <w:tcW w:w="1305" w:type="dxa"/>
            <w:shd w:val="clear" w:color="auto" w:fill="auto"/>
            <w:vAlign w:val="center"/>
          </w:tcPr>
          <w:p w14:paraId="765535C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Ναι</w:t>
            </w:r>
          </w:p>
        </w:tc>
        <w:tc>
          <w:tcPr>
            <w:tcW w:w="2222" w:type="dxa"/>
            <w:shd w:val="clear" w:color="auto" w:fill="auto"/>
            <w:vAlign w:val="center"/>
          </w:tcPr>
          <w:p w14:paraId="3DFBFAD0" w14:textId="77777777" w:rsidR="008D2CDE" w:rsidRPr="000B6B22" w:rsidRDefault="008D2CDE" w:rsidP="009D4EFF">
            <w:pPr>
              <w:pStyle w:val="TableParagraph"/>
              <w:spacing w:after="120"/>
              <w:ind w:left="298" w:right="160" w:hanging="2"/>
              <w:jc w:val="both"/>
              <w:rPr>
                <w:rFonts w:ascii="Times New Roman" w:eastAsia="Times New Roman" w:hAnsi="Times New Roman"/>
                <w:sz w:val="24"/>
                <w:szCs w:val="24"/>
              </w:rPr>
            </w:pPr>
            <w:r>
              <w:rPr>
                <w:rFonts w:ascii="Times New Roman" w:hAnsi="Times New Roman"/>
                <w:sz w:val="24"/>
              </w:rPr>
              <w:t>Κατάταξη σε ένα σχετικό στοιχείο του ID 1.1.6.2.4</w:t>
            </w:r>
          </w:p>
        </w:tc>
      </w:tr>
      <w:tr w:rsidR="00B47B7D" w:rsidRPr="000B6B22" w14:paraId="71245FB2" w14:textId="77777777" w:rsidTr="0059273D">
        <w:tc>
          <w:tcPr>
            <w:tcW w:w="529" w:type="dxa"/>
            <w:vMerge/>
            <w:shd w:val="clear" w:color="auto" w:fill="auto"/>
            <w:vAlign w:val="center"/>
          </w:tcPr>
          <w:p w14:paraId="3D58040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749FA76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BE62E54"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Όχι</w:t>
            </w:r>
          </w:p>
        </w:tc>
        <w:tc>
          <w:tcPr>
            <w:tcW w:w="2222" w:type="dxa"/>
            <w:shd w:val="clear" w:color="auto" w:fill="auto"/>
            <w:vAlign w:val="center"/>
          </w:tcPr>
          <w:p w14:paraId="388C1592" w14:textId="79EC92F5" w:rsidR="008D2CDE" w:rsidRPr="000B6B22" w:rsidRDefault="008D2CDE" w:rsidP="009D4EFF">
            <w:pPr>
              <w:pStyle w:val="TableParagraph"/>
              <w:spacing w:after="120"/>
              <w:ind w:left="510"/>
              <w:jc w:val="both"/>
              <w:rPr>
                <w:rFonts w:ascii="Times New Roman" w:eastAsia="Times New Roman" w:hAnsi="Times New Roman"/>
                <w:sz w:val="24"/>
                <w:szCs w:val="24"/>
              </w:rPr>
            </w:pPr>
            <w:r>
              <w:rPr>
                <w:rFonts w:ascii="Times New Roman" w:hAnsi="Times New Roman"/>
                <w:sz w:val="24"/>
              </w:rPr>
              <w:t># 41</w:t>
            </w:r>
          </w:p>
        </w:tc>
      </w:tr>
      <w:tr w:rsidR="00B47B7D" w:rsidRPr="000B6B22" w14:paraId="5317E4BC" w14:textId="77777777" w:rsidTr="0059273D">
        <w:tc>
          <w:tcPr>
            <w:tcW w:w="529" w:type="dxa"/>
            <w:vMerge w:val="restart"/>
            <w:shd w:val="clear" w:color="auto" w:fill="auto"/>
            <w:vAlign w:val="center"/>
          </w:tcPr>
          <w:p w14:paraId="1B7831D1" w14:textId="03CEB004"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41</w:t>
            </w:r>
          </w:p>
        </w:tc>
        <w:tc>
          <w:tcPr>
            <w:tcW w:w="5550" w:type="dxa"/>
            <w:vMerge w:val="restart"/>
            <w:shd w:val="clear" w:color="auto" w:fill="auto"/>
            <w:vAlign w:val="center"/>
          </w:tcPr>
          <w:p w14:paraId="6D1BE608"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Σε προσωπικές εταιρείες επενδύσεων;</w:t>
            </w:r>
          </w:p>
        </w:tc>
        <w:tc>
          <w:tcPr>
            <w:tcW w:w="1305" w:type="dxa"/>
            <w:shd w:val="clear" w:color="auto" w:fill="auto"/>
            <w:vAlign w:val="center"/>
          </w:tcPr>
          <w:p w14:paraId="6254A93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Ναι</w:t>
            </w:r>
          </w:p>
        </w:tc>
        <w:tc>
          <w:tcPr>
            <w:tcW w:w="2222" w:type="dxa"/>
            <w:shd w:val="clear" w:color="auto" w:fill="auto"/>
            <w:vAlign w:val="center"/>
          </w:tcPr>
          <w:p w14:paraId="64EC2A19"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rPr>
              <w:t>ID 1.1.6.2.3.</w:t>
            </w:r>
          </w:p>
        </w:tc>
      </w:tr>
      <w:tr w:rsidR="00B47B7D" w:rsidRPr="000B6B22" w14:paraId="13F32E3C" w14:textId="77777777" w:rsidTr="0059273D">
        <w:tc>
          <w:tcPr>
            <w:tcW w:w="529" w:type="dxa"/>
            <w:vMerge/>
            <w:shd w:val="clear" w:color="auto" w:fill="auto"/>
            <w:vAlign w:val="center"/>
          </w:tcPr>
          <w:p w14:paraId="56AEF077"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04BDBD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93DECC6"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Όχι</w:t>
            </w:r>
          </w:p>
        </w:tc>
        <w:tc>
          <w:tcPr>
            <w:tcW w:w="2222" w:type="dxa"/>
            <w:shd w:val="clear" w:color="auto" w:fill="auto"/>
            <w:vAlign w:val="center"/>
          </w:tcPr>
          <w:p w14:paraId="67B132B5" w14:textId="77777777" w:rsidR="008D2CDE" w:rsidRPr="000B6B22" w:rsidRDefault="008D2CDE" w:rsidP="009D4EFF">
            <w:pPr>
              <w:pStyle w:val="TableParagraph"/>
              <w:spacing w:after="120"/>
              <w:ind w:left="298" w:right="160" w:hanging="2"/>
              <w:jc w:val="both"/>
              <w:rPr>
                <w:rFonts w:ascii="Times New Roman" w:eastAsia="Times New Roman" w:hAnsi="Times New Roman"/>
                <w:sz w:val="24"/>
                <w:szCs w:val="24"/>
              </w:rPr>
            </w:pPr>
            <w:r>
              <w:rPr>
                <w:rFonts w:ascii="Times New Roman" w:hAnsi="Times New Roman"/>
                <w:sz w:val="24"/>
              </w:rPr>
              <w:t>Κατάταξη σε ένα σχετικό εναπομένον στοιχείο του ID 1.1.6.2</w:t>
            </w:r>
          </w:p>
        </w:tc>
      </w:tr>
      <w:tr w:rsidR="00B47B7D" w:rsidRPr="000B6B22" w14:paraId="43E70F7B" w14:textId="77777777" w:rsidTr="0059273D">
        <w:tc>
          <w:tcPr>
            <w:tcW w:w="529" w:type="dxa"/>
            <w:vMerge w:val="restart"/>
            <w:shd w:val="clear" w:color="auto" w:fill="auto"/>
            <w:vAlign w:val="center"/>
          </w:tcPr>
          <w:p w14:paraId="73417D86" w14:textId="2B432DA5"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42</w:t>
            </w:r>
          </w:p>
        </w:tc>
        <w:tc>
          <w:tcPr>
            <w:tcW w:w="5550" w:type="dxa"/>
            <w:vMerge w:val="restart"/>
            <w:shd w:val="clear" w:color="auto" w:fill="auto"/>
            <w:vAlign w:val="center"/>
          </w:tcPr>
          <w:p w14:paraId="327973B1"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Άλλο προϊόν ή υπηρεσία σύμφωνα με το άρθρο 23 του ΚΕΚ;</w:t>
            </w:r>
          </w:p>
        </w:tc>
        <w:tc>
          <w:tcPr>
            <w:tcW w:w="1305" w:type="dxa"/>
            <w:shd w:val="clear" w:color="auto" w:fill="auto"/>
            <w:vAlign w:val="center"/>
          </w:tcPr>
          <w:p w14:paraId="78582A6F"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Ναι</w:t>
            </w:r>
          </w:p>
        </w:tc>
        <w:tc>
          <w:tcPr>
            <w:tcW w:w="2222" w:type="dxa"/>
            <w:shd w:val="clear" w:color="auto" w:fill="auto"/>
            <w:vAlign w:val="center"/>
          </w:tcPr>
          <w:p w14:paraId="6960DC0F" w14:textId="4B3AE28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43</w:t>
            </w:r>
          </w:p>
        </w:tc>
      </w:tr>
      <w:tr w:rsidR="00B47B7D" w:rsidRPr="000B6B22" w14:paraId="3ABDBDCA" w14:textId="77777777" w:rsidTr="0059273D">
        <w:tc>
          <w:tcPr>
            <w:tcW w:w="529" w:type="dxa"/>
            <w:vMerge/>
            <w:shd w:val="clear" w:color="auto" w:fill="auto"/>
            <w:vAlign w:val="center"/>
          </w:tcPr>
          <w:p w14:paraId="1249A7F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EBD971B"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3A5AC19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Όχι</w:t>
            </w:r>
          </w:p>
        </w:tc>
        <w:tc>
          <w:tcPr>
            <w:tcW w:w="2222" w:type="dxa"/>
            <w:shd w:val="clear" w:color="auto" w:fill="auto"/>
            <w:vAlign w:val="center"/>
          </w:tcPr>
          <w:p w14:paraId="46C2D04C" w14:textId="77777777" w:rsidR="008D2CDE" w:rsidRPr="000B6B22" w:rsidRDefault="008D2CDE" w:rsidP="009D4EFF">
            <w:pPr>
              <w:pStyle w:val="TableParagraph"/>
              <w:spacing w:after="120"/>
              <w:ind w:left="411" w:right="261" w:hanging="10"/>
              <w:jc w:val="both"/>
              <w:rPr>
                <w:rFonts w:ascii="Times New Roman" w:eastAsia="Times New Roman" w:hAnsi="Times New Roman"/>
                <w:sz w:val="24"/>
                <w:szCs w:val="24"/>
              </w:rPr>
            </w:pPr>
            <w:r>
              <w:rPr>
                <w:rFonts w:ascii="Times New Roman" w:hAnsi="Times New Roman"/>
                <w:b/>
                <w:sz w:val="24"/>
              </w:rPr>
              <w:t>Να μην αναφερθεί</w:t>
            </w:r>
          </w:p>
        </w:tc>
      </w:tr>
      <w:tr w:rsidR="00B47B7D" w:rsidRPr="000B6B22" w14:paraId="5DA0FD06" w14:textId="77777777" w:rsidTr="0059273D">
        <w:tc>
          <w:tcPr>
            <w:tcW w:w="529" w:type="dxa"/>
            <w:vMerge w:val="restart"/>
            <w:shd w:val="clear" w:color="auto" w:fill="auto"/>
            <w:vAlign w:val="center"/>
          </w:tcPr>
          <w:p w14:paraId="1C26C17B" w14:textId="2D10B80C"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43</w:t>
            </w:r>
          </w:p>
        </w:tc>
        <w:tc>
          <w:tcPr>
            <w:tcW w:w="5550" w:type="dxa"/>
            <w:vMerge w:val="restart"/>
            <w:shd w:val="clear" w:color="auto" w:fill="auto"/>
            <w:vAlign w:val="center"/>
          </w:tcPr>
          <w:p w14:paraId="15D95005"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Εκτός ισολογισμού προϊόν που σχετίζεται με τη χρηματοδότηση του εμπορίου;</w:t>
            </w:r>
          </w:p>
        </w:tc>
        <w:tc>
          <w:tcPr>
            <w:tcW w:w="1305" w:type="dxa"/>
            <w:shd w:val="clear" w:color="auto" w:fill="auto"/>
            <w:vAlign w:val="center"/>
          </w:tcPr>
          <w:p w14:paraId="4CDF9C7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Ναι</w:t>
            </w:r>
          </w:p>
        </w:tc>
        <w:tc>
          <w:tcPr>
            <w:tcW w:w="2222" w:type="dxa"/>
            <w:shd w:val="clear" w:color="auto" w:fill="auto"/>
            <w:vAlign w:val="center"/>
          </w:tcPr>
          <w:p w14:paraId="39827A77" w14:textId="77777777"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rPr>
              <w:t>ID1.1.7.8.</w:t>
            </w:r>
          </w:p>
        </w:tc>
      </w:tr>
      <w:tr w:rsidR="00B47B7D" w:rsidRPr="000B6B22" w14:paraId="4EDD0DCC" w14:textId="77777777" w:rsidTr="0059273D">
        <w:tc>
          <w:tcPr>
            <w:tcW w:w="529" w:type="dxa"/>
            <w:vMerge/>
            <w:shd w:val="clear" w:color="auto" w:fill="auto"/>
            <w:vAlign w:val="center"/>
          </w:tcPr>
          <w:p w14:paraId="0417A83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A9C57E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AE5660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Όχι</w:t>
            </w:r>
          </w:p>
        </w:tc>
        <w:tc>
          <w:tcPr>
            <w:tcW w:w="2222" w:type="dxa"/>
            <w:shd w:val="clear" w:color="auto" w:fill="auto"/>
            <w:vAlign w:val="center"/>
          </w:tcPr>
          <w:p w14:paraId="4D86FE78"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44</w:t>
            </w:r>
          </w:p>
        </w:tc>
      </w:tr>
      <w:tr w:rsidR="00B47B7D" w:rsidRPr="000B6B22" w14:paraId="361D338D" w14:textId="77777777" w:rsidTr="0059273D">
        <w:tc>
          <w:tcPr>
            <w:tcW w:w="529" w:type="dxa"/>
            <w:vMerge w:val="restart"/>
            <w:shd w:val="clear" w:color="auto" w:fill="auto"/>
            <w:vAlign w:val="center"/>
          </w:tcPr>
          <w:p w14:paraId="446AC7BA"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44</w:t>
            </w:r>
          </w:p>
        </w:tc>
        <w:tc>
          <w:tcPr>
            <w:tcW w:w="5550" w:type="dxa"/>
            <w:vMerge w:val="restart"/>
            <w:shd w:val="clear" w:color="auto" w:fill="auto"/>
            <w:vAlign w:val="center"/>
          </w:tcPr>
          <w:p w14:paraId="4F7CFC3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Μη εκταμιευθέντα δάνεια και προκαταβολές προς αντισυμβαλλόμενους χονδρικής;</w:t>
            </w:r>
          </w:p>
        </w:tc>
        <w:tc>
          <w:tcPr>
            <w:tcW w:w="1305" w:type="dxa"/>
            <w:shd w:val="clear" w:color="auto" w:fill="auto"/>
            <w:vAlign w:val="center"/>
          </w:tcPr>
          <w:p w14:paraId="08E5AFE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Ναι</w:t>
            </w:r>
          </w:p>
        </w:tc>
        <w:tc>
          <w:tcPr>
            <w:tcW w:w="2222" w:type="dxa"/>
            <w:shd w:val="clear" w:color="auto" w:fill="auto"/>
            <w:vAlign w:val="center"/>
          </w:tcPr>
          <w:p w14:paraId="6E9A723B"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ID 1.1.7.2</w:t>
            </w:r>
          </w:p>
        </w:tc>
      </w:tr>
      <w:tr w:rsidR="00B47B7D" w:rsidRPr="000B6B22" w14:paraId="4DF721DD" w14:textId="77777777" w:rsidTr="0059273D">
        <w:tc>
          <w:tcPr>
            <w:tcW w:w="529" w:type="dxa"/>
            <w:vMerge/>
            <w:shd w:val="clear" w:color="auto" w:fill="auto"/>
            <w:vAlign w:val="center"/>
          </w:tcPr>
          <w:p w14:paraId="194F7447"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82C894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F9B5F8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Όχι</w:t>
            </w:r>
          </w:p>
        </w:tc>
        <w:tc>
          <w:tcPr>
            <w:tcW w:w="2222" w:type="dxa"/>
            <w:shd w:val="clear" w:color="auto" w:fill="auto"/>
            <w:vAlign w:val="center"/>
          </w:tcPr>
          <w:p w14:paraId="06ADA09C"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45</w:t>
            </w:r>
          </w:p>
        </w:tc>
      </w:tr>
      <w:tr w:rsidR="00B47B7D" w:rsidRPr="000B6B22" w14:paraId="0A4B657F" w14:textId="77777777" w:rsidTr="0059273D">
        <w:tc>
          <w:tcPr>
            <w:tcW w:w="529" w:type="dxa"/>
            <w:vMerge w:val="restart"/>
            <w:shd w:val="clear" w:color="auto" w:fill="auto"/>
            <w:vAlign w:val="center"/>
          </w:tcPr>
          <w:p w14:paraId="0D0F4D6F"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45</w:t>
            </w:r>
          </w:p>
        </w:tc>
        <w:tc>
          <w:tcPr>
            <w:tcW w:w="5550" w:type="dxa"/>
            <w:vMerge w:val="restart"/>
            <w:shd w:val="clear" w:color="auto" w:fill="auto"/>
            <w:vAlign w:val="center"/>
          </w:tcPr>
          <w:p w14:paraId="1F1A4BCE" w14:textId="757172E2"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Ενυπόθηκα δάνεια που έχουν συμφωνηθεί αλλά δεν έχουν εκταμιευθεί ακόμη</w:t>
            </w:r>
          </w:p>
        </w:tc>
        <w:tc>
          <w:tcPr>
            <w:tcW w:w="1305" w:type="dxa"/>
            <w:shd w:val="clear" w:color="auto" w:fill="auto"/>
            <w:vAlign w:val="center"/>
          </w:tcPr>
          <w:p w14:paraId="4EDAE551"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Ναι</w:t>
            </w:r>
          </w:p>
        </w:tc>
        <w:tc>
          <w:tcPr>
            <w:tcW w:w="2222" w:type="dxa"/>
            <w:shd w:val="clear" w:color="auto" w:fill="auto"/>
            <w:vAlign w:val="center"/>
          </w:tcPr>
          <w:p w14:paraId="3E9C3934" w14:textId="71A0D480"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ID 1.1.7.3</w:t>
            </w:r>
          </w:p>
        </w:tc>
      </w:tr>
      <w:tr w:rsidR="00B47B7D" w:rsidRPr="000B6B22" w14:paraId="19D46371" w14:textId="77777777" w:rsidTr="0059273D">
        <w:tc>
          <w:tcPr>
            <w:tcW w:w="529" w:type="dxa"/>
            <w:vMerge/>
            <w:shd w:val="clear" w:color="auto" w:fill="auto"/>
            <w:vAlign w:val="center"/>
          </w:tcPr>
          <w:p w14:paraId="0981784E"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6F1008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6AE4417"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Όχι</w:t>
            </w:r>
          </w:p>
        </w:tc>
        <w:tc>
          <w:tcPr>
            <w:tcW w:w="2222" w:type="dxa"/>
            <w:shd w:val="clear" w:color="auto" w:fill="auto"/>
            <w:vAlign w:val="center"/>
          </w:tcPr>
          <w:p w14:paraId="0676E24D"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46</w:t>
            </w:r>
          </w:p>
        </w:tc>
      </w:tr>
      <w:tr w:rsidR="00B47B7D" w:rsidRPr="000B6B22" w14:paraId="1A3D2F81" w14:textId="77777777" w:rsidTr="0059273D">
        <w:tc>
          <w:tcPr>
            <w:tcW w:w="529" w:type="dxa"/>
            <w:vMerge w:val="restart"/>
            <w:shd w:val="clear" w:color="auto" w:fill="auto"/>
            <w:vAlign w:val="center"/>
          </w:tcPr>
          <w:p w14:paraId="03F793C3"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lastRenderedPageBreak/>
              <w:t>46</w:t>
            </w:r>
          </w:p>
        </w:tc>
        <w:tc>
          <w:tcPr>
            <w:tcW w:w="5550" w:type="dxa"/>
            <w:vMerge w:val="restart"/>
            <w:shd w:val="clear" w:color="auto" w:fill="auto"/>
            <w:vAlign w:val="center"/>
          </w:tcPr>
          <w:p w14:paraId="4BEC4BAC" w14:textId="1C512FBB"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Προγραμματισμένη εκροή που σχετίζεται με την ανανέωση ή επέκταση νέων δανείων λιανικής ή χονδρικής;</w:t>
            </w:r>
          </w:p>
        </w:tc>
        <w:tc>
          <w:tcPr>
            <w:tcW w:w="1305" w:type="dxa"/>
            <w:shd w:val="clear" w:color="auto" w:fill="auto"/>
            <w:vAlign w:val="center"/>
          </w:tcPr>
          <w:p w14:paraId="431FE94A"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Ναι</w:t>
            </w:r>
          </w:p>
        </w:tc>
        <w:tc>
          <w:tcPr>
            <w:tcW w:w="2222" w:type="dxa"/>
            <w:shd w:val="clear" w:color="auto" w:fill="auto"/>
            <w:vAlign w:val="center"/>
          </w:tcPr>
          <w:p w14:paraId="3A4593A0" w14:textId="590A3CA8"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rPr>
              <w:t>ID 1.1.7.6</w:t>
            </w:r>
          </w:p>
        </w:tc>
      </w:tr>
      <w:tr w:rsidR="00B47B7D" w:rsidRPr="000B6B22" w14:paraId="251CF2FD" w14:textId="77777777" w:rsidTr="0059273D">
        <w:tc>
          <w:tcPr>
            <w:tcW w:w="529" w:type="dxa"/>
            <w:vMerge/>
            <w:shd w:val="clear" w:color="auto" w:fill="auto"/>
            <w:vAlign w:val="center"/>
          </w:tcPr>
          <w:p w14:paraId="38541B31"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DA3EA8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4696B66"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Όχι</w:t>
            </w:r>
          </w:p>
        </w:tc>
        <w:tc>
          <w:tcPr>
            <w:tcW w:w="2222" w:type="dxa"/>
            <w:shd w:val="clear" w:color="auto" w:fill="auto"/>
            <w:vAlign w:val="center"/>
          </w:tcPr>
          <w:p w14:paraId="3B4A1BE5"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b/>
                <w:sz w:val="24"/>
              </w:rPr>
              <w:t>#</w:t>
            </w:r>
            <w:r>
              <w:rPr>
                <w:rFonts w:ascii="Times New Roman" w:hAnsi="Times New Roman"/>
                <w:sz w:val="24"/>
              </w:rPr>
              <w:t xml:space="preserve"> 47</w:t>
            </w:r>
          </w:p>
        </w:tc>
      </w:tr>
      <w:tr w:rsidR="00B47B7D" w:rsidRPr="000B6B22" w14:paraId="64B0BD47" w14:textId="77777777" w:rsidTr="0059273D">
        <w:tc>
          <w:tcPr>
            <w:tcW w:w="529" w:type="dxa"/>
            <w:vMerge w:val="restart"/>
            <w:shd w:val="clear" w:color="auto" w:fill="auto"/>
            <w:vAlign w:val="center"/>
          </w:tcPr>
          <w:p w14:paraId="62A2A2BC"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47</w:t>
            </w:r>
          </w:p>
        </w:tc>
        <w:tc>
          <w:tcPr>
            <w:tcW w:w="5550" w:type="dxa"/>
            <w:vMerge w:val="restart"/>
            <w:shd w:val="clear" w:color="auto" w:fill="auto"/>
            <w:vAlign w:val="center"/>
          </w:tcPr>
          <w:p w14:paraId="1449E370" w14:textId="42051BD9"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Πιστωτικές κάρτες;</w:t>
            </w:r>
          </w:p>
        </w:tc>
        <w:tc>
          <w:tcPr>
            <w:tcW w:w="1305" w:type="dxa"/>
            <w:shd w:val="clear" w:color="auto" w:fill="auto"/>
            <w:vAlign w:val="center"/>
          </w:tcPr>
          <w:p w14:paraId="71A6EAB2"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Ναι</w:t>
            </w:r>
          </w:p>
        </w:tc>
        <w:tc>
          <w:tcPr>
            <w:tcW w:w="2222" w:type="dxa"/>
            <w:shd w:val="clear" w:color="auto" w:fill="auto"/>
            <w:vAlign w:val="center"/>
          </w:tcPr>
          <w:p w14:paraId="2B86928C" w14:textId="78C5D74A"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ID 1.1.7.4</w:t>
            </w:r>
          </w:p>
        </w:tc>
      </w:tr>
      <w:tr w:rsidR="00B47B7D" w:rsidRPr="000B6B22" w14:paraId="156D79D8" w14:textId="77777777" w:rsidTr="0059273D">
        <w:tc>
          <w:tcPr>
            <w:tcW w:w="529" w:type="dxa"/>
            <w:vMerge/>
            <w:shd w:val="clear" w:color="auto" w:fill="auto"/>
            <w:vAlign w:val="center"/>
          </w:tcPr>
          <w:p w14:paraId="6B5A4460"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0FE132F"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E32B2B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Όχι</w:t>
            </w:r>
          </w:p>
        </w:tc>
        <w:tc>
          <w:tcPr>
            <w:tcW w:w="2222" w:type="dxa"/>
            <w:shd w:val="clear" w:color="auto" w:fill="auto"/>
            <w:vAlign w:val="center"/>
          </w:tcPr>
          <w:p w14:paraId="69FFCD22"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48</w:t>
            </w:r>
          </w:p>
        </w:tc>
      </w:tr>
      <w:tr w:rsidR="00B47B7D" w:rsidRPr="000B6B22" w14:paraId="2816B143" w14:textId="77777777" w:rsidTr="0059273D">
        <w:tc>
          <w:tcPr>
            <w:tcW w:w="529" w:type="dxa"/>
            <w:vMerge w:val="restart"/>
            <w:shd w:val="clear" w:color="auto" w:fill="auto"/>
            <w:vAlign w:val="center"/>
          </w:tcPr>
          <w:p w14:paraId="23E7FF3B"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48</w:t>
            </w:r>
          </w:p>
        </w:tc>
        <w:tc>
          <w:tcPr>
            <w:tcW w:w="5550" w:type="dxa"/>
            <w:vMerge w:val="restart"/>
            <w:shd w:val="clear" w:color="auto" w:fill="auto"/>
            <w:vAlign w:val="center"/>
          </w:tcPr>
          <w:p w14:paraId="163730E9" w14:textId="58E11F0D"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Υπεραναλήψεις;</w:t>
            </w:r>
          </w:p>
        </w:tc>
        <w:tc>
          <w:tcPr>
            <w:tcW w:w="1305" w:type="dxa"/>
            <w:shd w:val="clear" w:color="auto" w:fill="auto"/>
            <w:vAlign w:val="center"/>
          </w:tcPr>
          <w:p w14:paraId="5E5C102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Ναι</w:t>
            </w:r>
          </w:p>
        </w:tc>
        <w:tc>
          <w:tcPr>
            <w:tcW w:w="2222" w:type="dxa"/>
            <w:shd w:val="clear" w:color="auto" w:fill="auto"/>
            <w:vAlign w:val="center"/>
          </w:tcPr>
          <w:p w14:paraId="0CE42972" w14:textId="4F712896" w:rsidR="008D2CDE" w:rsidRPr="000B6B22" w:rsidRDefault="008D2CDE" w:rsidP="009D4EFF">
            <w:pPr>
              <w:pStyle w:val="TableParagraph"/>
              <w:spacing w:after="120"/>
              <w:ind w:left="305"/>
              <w:jc w:val="both"/>
              <w:rPr>
                <w:rFonts w:ascii="Times New Roman" w:eastAsia="Times New Roman" w:hAnsi="Times New Roman"/>
                <w:sz w:val="24"/>
                <w:szCs w:val="24"/>
              </w:rPr>
            </w:pPr>
            <w:r>
              <w:rPr>
                <w:rFonts w:ascii="Times New Roman" w:hAnsi="Times New Roman"/>
                <w:sz w:val="24"/>
              </w:rPr>
              <w:t>ID 1.1.7.5</w:t>
            </w:r>
          </w:p>
        </w:tc>
      </w:tr>
      <w:tr w:rsidR="00B47B7D" w:rsidRPr="000B6B22" w14:paraId="710023DF" w14:textId="77777777" w:rsidTr="0059273D">
        <w:tc>
          <w:tcPr>
            <w:tcW w:w="529" w:type="dxa"/>
            <w:vMerge/>
            <w:shd w:val="clear" w:color="auto" w:fill="auto"/>
            <w:vAlign w:val="center"/>
          </w:tcPr>
          <w:p w14:paraId="099B2FAF"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18105F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DCEDA2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Όχι</w:t>
            </w:r>
          </w:p>
        </w:tc>
        <w:tc>
          <w:tcPr>
            <w:tcW w:w="2222" w:type="dxa"/>
            <w:shd w:val="clear" w:color="auto" w:fill="auto"/>
            <w:vAlign w:val="center"/>
          </w:tcPr>
          <w:p w14:paraId="3394DD72"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49</w:t>
            </w:r>
          </w:p>
        </w:tc>
      </w:tr>
      <w:tr w:rsidR="00B47B7D" w:rsidRPr="000B6B22" w14:paraId="7AFF4F08" w14:textId="77777777" w:rsidTr="0059273D">
        <w:tc>
          <w:tcPr>
            <w:tcW w:w="529" w:type="dxa"/>
            <w:vMerge w:val="restart"/>
            <w:shd w:val="clear" w:color="auto" w:fill="auto"/>
            <w:vAlign w:val="center"/>
          </w:tcPr>
          <w:p w14:paraId="2D6D0A77"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49</w:t>
            </w:r>
          </w:p>
        </w:tc>
        <w:tc>
          <w:tcPr>
            <w:tcW w:w="5550" w:type="dxa"/>
            <w:vMerge w:val="restart"/>
            <w:shd w:val="clear" w:color="auto" w:fill="auto"/>
            <w:vAlign w:val="center"/>
          </w:tcPr>
          <w:p w14:paraId="4B3732CC" w14:textId="432EEDCA" w:rsidR="008D2CDE" w:rsidRPr="000B6B22" w:rsidRDefault="00BD24F8"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Πληρωτέο από παράγωγα;</w:t>
            </w:r>
          </w:p>
        </w:tc>
        <w:tc>
          <w:tcPr>
            <w:tcW w:w="1305" w:type="dxa"/>
            <w:shd w:val="clear" w:color="auto" w:fill="auto"/>
            <w:vAlign w:val="center"/>
          </w:tcPr>
          <w:p w14:paraId="1FA4A576"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Ναι</w:t>
            </w:r>
          </w:p>
        </w:tc>
        <w:tc>
          <w:tcPr>
            <w:tcW w:w="2222" w:type="dxa"/>
            <w:shd w:val="clear" w:color="auto" w:fill="auto"/>
            <w:vAlign w:val="center"/>
          </w:tcPr>
          <w:p w14:paraId="0A6C622F" w14:textId="18CBAD24"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rPr>
              <w:t>ID1.1.7.7.</w:t>
            </w:r>
          </w:p>
        </w:tc>
      </w:tr>
      <w:tr w:rsidR="00B47B7D" w:rsidRPr="000B6B22" w14:paraId="562F9AA0" w14:textId="77777777" w:rsidTr="0059273D">
        <w:tc>
          <w:tcPr>
            <w:tcW w:w="529" w:type="dxa"/>
            <w:vMerge/>
            <w:shd w:val="clear" w:color="auto" w:fill="auto"/>
            <w:vAlign w:val="center"/>
          </w:tcPr>
          <w:p w14:paraId="2F87DB5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9F5A48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FB6347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Όχι</w:t>
            </w:r>
          </w:p>
        </w:tc>
        <w:tc>
          <w:tcPr>
            <w:tcW w:w="2222" w:type="dxa"/>
            <w:shd w:val="clear" w:color="auto" w:fill="auto"/>
            <w:vAlign w:val="center"/>
          </w:tcPr>
          <w:p w14:paraId="7C07E6D6"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50</w:t>
            </w:r>
          </w:p>
        </w:tc>
      </w:tr>
      <w:tr w:rsidR="00B47B7D" w:rsidRPr="000B6B22" w14:paraId="1F9E2E3F" w14:textId="77777777" w:rsidTr="0059273D">
        <w:tc>
          <w:tcPr>
            <w:tcW w:w="529" w:type="dxa"/>
            <w:vMerge w:val="restart"/>
            <w:shd w:val="clear" w:color="auto" w:fill="auto"/>
            <w:vAlign w:val="center"/>
          </w:tcPr>
          <w:p w14:paraId="41A05260" w14:textId="58BDF0A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50</w:t>
            </w:r>
          </w:p>
        </w:tc>
        <w:tc>
          <w:tcPr>
            <w:tcW w:w="5550" w:type="dxa"/>
            <w:vMerge w:val="restart"/>
            <w:shd w:val="clear" w:color="auto" w:fill="auto"/>
            <w:vAlign w:val="center"/>
          </w:tcPr>
          <w:p w14:paraId="3E84F85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Άλλες εκτός ισολογισμού και ενδεχόμενες χρηματοδοτικές υποχρεώσεις;</w:t>
            </w:r>
          </w:p>
        </w:tc>
        <w:tc>
          <w:tcPr>
            <w:tcW w:w="1305" w:type="dxa"/>
            <w:shd w:val="clear" w:color="auto" w:fill="auto"/>
            <w:vAlign w:val="center"/>
          </w:tcPr>
          <w:p w14:paraId="0E3784F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Ναι</w:t>
            </w:r>
          </w:p>
        </w:tc>
        <w:tc>
          <w:tcPr>
            <w:tcW w:w="2222" w:type="dxa"/>
            <w:shd w:val="clear" w:color="auto" w:fill="auto"/>
            <w:vAlign w:val="center"/>
          </w:tcPr>
          <w:p w14:paraId="02F5828E" w14:textId="77777777"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rPr>
              <w:t>ID1.1.7.1.</w:t>
            </w:r>
          </w:p>
        </w:tc>
      </w:tr>
      <w:tr w:rsidR="00B47B7D" w:rsidRPr="000B6B22" w14:paraId="2AD53A95" w14:textId="77777777" w:rsidTr="0059273D">
        <w:tc>
          <w:tcPr>
            <w:tcW w:w="529" w:type="dxa"/>
            <w:vMerge/>
            <w:shd w:val="clear" w:color="auto" w:fill="auto"/>
            <w:vAlign w:val="center"/>
          </w:tcPr>
          <w:p w14:paraId="1260E44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A217964"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13ABAC2"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Όχι</w:t>
            </w:r>
          </w:p>
        </w:tc>
        <w:tc>
          <w:tcPr>
            <w:tcW w:w="2222" w:type="dxa"/>
            <w:shd w:val="clear" w:color="auto" w:fill="auto"/>
            <w:vAlign w:val="center"/>
          </w:tcPr>
          <w:p w14:paraId="251B7E9E"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ID 1.1.7.9</w:t>
            </w:r>
          </w:p>
        </w:tc>
      </w:tr>
      <w:tr w:rsidR="00B47B7D" w:rsidRPr="000B6B22" w14:paraId="3A8C3D29" w14:textId="77777777" w:rsidTr="0059273D">
        <w:tc>
          <w:tcPr>
            <w:tcW w:w="529" w:type="dxa"/>
            <w:vMerge w:val="restart"/>
            <w:shd w:val="clear" w:color="auto" w:fill="auto"/>
            <w:vAlign w:val="center"/>
          </w:tcPr>
          <w:p w14:paraId="51352F09" w14:textId="09C627D0"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51</w:t>
            </w:r>
          </w:p>
        </w:tc>
        <w:tc>
          <w:tcPr>
            <w:tcW w:w="5550" w:type="dxa"/>
            <w:vMerge w:val="restart"/>
            <w:shd w:val="clear" w:color="auto" w:fill="auto"/>
            <w:vAlign w:val="center"/>
          </w:tcPr>
          <w:p w14:paraId="005A3BFF"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Χρεόγραφο που αναφέρεται ήδη στο σημείο 1.1.8.2 του υποδείγματος C 73.00;</w:t>
            </w:r>
          </w:p>
        </w:tc>
        <w:tc>
          <w:tcPr>
            <w:tcW w:w="1305" w:type="dxa"/>
            <w:shd w:val="clear" w:color="auto" w:fill="auto"/>
            <w:vAlign w:val="center"/>
          </w:tcPr>
          <w:p w14:paraId="20BC634E"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Ναι</w:t>
            </w:r>
          </w:p>
        </w:tc>
        <w:tc>
          <w:tcPr>
            <w:tcW w:w="2222" w:type="dxa"/>
            <w:shd w:val="clear" w:color="auto" w:fill="auto"/>
            <w:vAlign w:val="center"/>
          </w:tcPr>
          <w:p w14:paraId="763A6D9E"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b/>
                <w:sz w:val="24"/>
              </w:rPr>
              <w:t>Να μην αναφερθεί</w:t>
            </w:r>
          </w:p>
        </w:tc>
      </w:tr>
      <w:tr w:rsidR="00B47B7D" w:rsidRPr="000B6B22" w14:paraId="100A52BC" w14:textId="77777777" w:rsidTr="0059273D">
        <w:tc>
          <w:tcPr>
            <w:tcW w:w="529" w:type="dxa"/>
            <w:vMerge/>
            <w:shd w:val="clear" w:color="auto" w:fill="auto"/>
            <w:vAlign w:val="center"/>
          </w:tcPr>
          <w:p w14:paraId="311323FD"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6586F6F"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9B7DCF3"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Όχι</w:t>
            </w:r>
          </w:p>
        </w:tc>
        <w:tc>
          <w:tcPr>
            <w:tcW w:w="2222" w:type="dxa"/>
            <w:shd w:val="clear" w:color="auto" w:fill="auto"/>
            <w:vAlign w:val="center"/>
          </w:tcPr>
          <w:p w14:paraId="2DA43823" w14:textId="11F214AE"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52</w:t>
            </w:r>
          </w:p>
        </w:tc>
      </w:tr>
      <w:tr w:rsidR="00B47B7D" w:rsidRPr="000B6B22" w14:paraId="4F7FB576" w14:textId="77777777" w:rsidTr="0059273D">
        <w:tc>
          <w:tcPr>
            <w:tcW w:w="529" w:type="dxa"/>
            <w:vMerge w:val="restart"/>
            <w:shd w:val="clear" w:color="auto" w:fill="auto"/>
            <w:vAlign w:val="center"/>
          </w:tcPr>
          <w:p w14:paraId="7714BCBA" w14:textId="0F1020F2"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52</w:t>
            </w:r>
          </w:p>
        </w:tc>
        <w:tc>
          <w:tcPr>
            <w:tcW w:w="5550" w:type="dxa"/>
            <w:vMerge w:val="restart"/>
            <w:shd w:val="clear" w:color="auto" w:fill="auto"/>
            <w:vAlign w:val="center"/>
          </w:tcPr>
          <w:p w14:paraId="719921E1" w14:textId="21FC2886"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Απαίτηση ρευστότητας για παράγωγα σύμφωνα με το άρθρο 30 παράγραφος 4 του ΚΕΚ που εξετάστηκε ήδη στο θέμα # 29;</w:t>
            </w:r>
          </w:p>
        </w:tc>
        <w:tc>
          <w:tcPr>
            <w:tcW w:w="1305" w:type="dxa"/>
            <w:shd w:val="clear" w:color="auto" w:fill="auto"/>
            <w:vAlign w:val="center"/>
          </w:tcPr>
          <w:p w14:paraId="1AB5ADC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Ναι</w:t>
            </w:r>
          </w:p>
        </w:tc>
        <w:tc>
          <w:tcPr>
            <w:tcW w:w="2222" w:type="dxa"/>
            <w:shd w:val="clear" w:color="auto" w:fill="auto"/>
            <w:vAlign w:val="center"/>
          </w:tcPr>
          <w:p w14:paraId="46D75FB6"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b/>
                <w:sz w:val="24"/>
              </w:rPr>
              <w:t>Να μην αναφερθεί</w:t>
            </w:r>
          </w:p>
        </w:tc>
      </w:tr>
      <w:tr w:rsidR="008D2CDE" w:rsidRPr="000B6B22" w14:paraId="04624BB7" w14:textId="77777777" w:rsidTr="0059273D">
        <w:tc>
          <w:tcPr>
            <w:tcW w:w="529" w:type="dxa"/>
            <w:vMerge/>
            <w:shd w:val="clear" w:color="auto" w:fill="auto"/>
            <w:vAlign w:val="center"/>
          </w:tcPr>
          <w:p w14:paraId="716162BB"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0158B3B"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58B3479"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Όχι</w:t>
            </w:r>
          </w:p>
        </w:tc>
        <w:tc>
          <w:tcPr>
            <w:tcW w:w="2222" w:type="dxa"/>
            <w:shd w:val="clear" w:color="auto" w:fill="auto"/>
            <w:vAlign w:val="center"/>
          </w:tcPr>
          <w:p w14:paraId="1868B7DD" w14:textId="77777777" w:rsidR="008D2CDE" w:rsidRPr="000B6B22" w:rsidRDefault="008D2CDE" w:rsidP="009D4EFF">
            <w:pPr>
              <w:pStyle w:val="TableParagraph"/>
              <w:spacing w:after="120"/>
              <w:ind w:left="267" w:right="128" w:hanging="2"/>
              <w:jc w:val="both"/>
              <w:rPr>
                <w:rFonts w:ascii="Times New Roman" w:eastAsia="Times New Roman" w:hAnsi="Times New Roman"/>
                <w:sz w:val="24"/>
                <w:szCs w:val="24"/>
              </w:rPr>
            </w:pPr>
            <w:r>
              <w:rPr>
                <w:rFonts w:ascii="Times New Roman" w:hAnsi="Times New Roman"/>
                <w:sz w:val="24"/>
              </w:rPr>
              <w:t>Κατάταξη στα σχετικά στοιχεία του ID 1.1.5</w:t>
            </w:r>
          </w:p>
        </w:tc>
      </w:tr>
    </w:tbl>
    <w:p w14:paraId="0351CAA7" w14:textId="77777777" w:rsidR="006E48EA" w:rsidRPr="000B6B22" w:rsidRDefault="006E48EA" w:rsidP="009D4EFF">
      <w:pPr>
        <w:widowControl w:val="0"/>
        <w:spacing w:before="0"/>
        <w:ind w:right="114"/>
        <w:rPr>
          <w:rFonts w:ascii="Times New Roman" w:eastAsia="Calibri" w:hAnsi="Times New Roman"/>
          <w:sz w:val="24"/>
        </w:rPr>
      </w:pPr>
    </w:p>
    <w:p w14:paraId="73D80E81" w14:textId="0698DC11"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w:t>
      </w:r>
      <w:r w:rsidRPr="00301219">
        <w:rPr>
          <w:rFonts w:ascii="Times New Roman" w:hAnsi="Times New Roman"/>
          <w:sz w:val="24"/>
          <w:u w:val="none"/>
        </w:rPr>
        <w:t>3.</w:t>
      </w:r>
      <w:r w:rsidRPr="00301219">
        <w:rPr>
          <w:u w:val="none"/>
        </w:rPr>
        <w:tab/>
      </w:r>
      <w:r>
        <w:rPr>
          <w:rFonts w:ascii="Times New Roman" w:hAnsi="Times New Roman"/>
          <w:sz w:val="24"/>
          <w:u w:val="none"/>
        </w:rPr>
        <w:t>Οδηγίες για συγκεκριμένες στήλες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0"/>
        <w:gridCol w:w="6936"/>
      </w:tblGrid>
      <w:tr w:rsidR="00B47B7D" w:rsidRPr="000B6B22" w14:paraId="09160397" w14:textId="77777777" w:rsidTr="00454544">
        <w:tc>
          <w:tcPr>
            <w:tcW w:w="1382" w:type="dxa"/>
            <w:shd w:val="clear" w:color="auto" w:fill="auto"/>
          </w:tcPr>
          <w:p w14:paraId="42B160A7" w14:textId="77777777" w:rsidR="006E48EA" w:rsidRPr="000B6B22" w:rsidRDefault="006E48EA">
            <w:pPr>
              <w:spacing w:before="0"/>
              <w:ind w:left="107"/>
              <w:rPr>
                <w:rFonts w:ascii="Times New Roman" w:eastAsia="Verdana" w:hAnsi="Times New Roman"/>
                <w:sz w:val="24"/>
              </w:rPr>
            </w:pPr>
            <w:r>
              <w:rPr>
                <w:rFonts w:ascii="Times New Roman" w:hAnsi="Times New Roman"/>
                <w:sz w:val="24"/>
                <w:u w:color="000000"/>
              </w:rPr>
              <w:t>Στήλη</w:t>
            </w:r>
          </w:p>
        </w:tc>
        <w:tc>
          <w:tcPr>
            <w:tcW w:w="7140" w:type="dxa"/>
            <w:shd w:val="clear" w:color="auto" w:fill="auto"/>
          </w:tcPr>
          <w:p w14:paraId="29D5C5E7" w14:textId="77777777" w:rsidR="006E48EA" w:rsidRPr="000B6B22" w:rsidRDefault="006E48EA">
            <w:pPr>
              <w:spacing w:before="0"/>
              <w:ind w:left="108"/>
              <w:rPr>
                <w:rFonts w:ascii="Times New Roman" w:eastAsia="Verdana" w:hAnsi="Times New Roman"/>
                <w:sz w:val="24"/>
              </w:rPr>
            </w:pPr>
            <w:r>
              <w:rPr>
                <w:rFonts w:ascii="Times New Roman" w:hAnsi="Times New Roman"/>
                <w:sz w:val="24"/>
                <w:u w:color="000000"/>
              </w:rPr>
              <w:t>Νομικά κείμενα αναφοράς και οδηγίες</w:t>
            </w:r>
          </w:p>
        </w:tc>
      </w:tr>
      <w:tr w:rsidR="00B47B7D" w:rsidRPr="000B6B22" w14:paraId="4ECE8DAF" w14:textId="77777777" w:rsidTr="00454544">
        <w:tc>
          <w:tcPr>
            <w:tcW w:w="1382" w:type="dxa"/>
            <w:shd w:val="clear" w:color="auto" w:fill="auto"/>
          </w:tcPr>
          <w:p w14:paraId="2C947513" w14:textId="29DFE8BF"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rPr>
              <w:t>0010</w:t>
            </w:r>
          </w:p>
        </w:tc>
        <w:tc>
          <w:tcPr>
            <w:tcW w:w="7140" w:type="dxa"/>
            <w:shd w:val="clear" w:color="auto" w:fill="auto"/>
          </w:tcPr>
          <w:p w14:paraId="26C75966"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u w:color="000000"/>
              </w:rPr>
              <w:t>Ποσό</w:t>
            </w:r>
          </w:p>
          <w:p w14:paraId="277C8010" w14:textId="24DF768B" w:rsidR="006E48EA" w:rsidRPr="000B6B22" w:rsidRDefault="006E48EA">
            <w:pPr>
              <w:widowControl w:val="0"/>
              <w:tabs>
                <w:tab w:val="left" w:pos="397"/>
              </w:tabs>
              <w:spacing w:before="0"/>
              <w:ind w:left="396" w:hanging="294"/>
              <w:rPr>
                <w:rFonts w:ascii="Times New Roman" w:eastAsia="Verdana" w:hAnsi="Times New Roman"/>
                <w:sz w:val="24"/>
              </w:rPr>
            </w:pPr>
            <w:r>
              <w:rPr>
                <w:rFonts w:ascii="Times New Roman" w:hAnsi="Times New Roman"/>
                <w:sz w:val="24"/>
                <w:u w:color="000000"/>
              </w:rPr>
              <w:t>1.1.</w:t>
            </w:r>
            <w:r>
              <w:tab/>
            </w:r>
            <w:r>
              <w:rPr>
                <w:rFonts w:ascii="Times New Roman" w:hAnsi="Times New Roman"/>
                <w:sz w:val="24"/>
                <w:u w:color="000000"/>
              </w:rPr>
              <w:t>Ειδικές οδηγίες για μη εξασφαλισμένες συναλλαγές/καταθέσεις:</w:t>
            </w:r>
          </w:p>
          <w:p w14:paraId="34B20675" w14:textId="2BD38B70" w:rsidR="006E48EA" w:rsidRPr="000B6B22" w:rsidRDefault="006E48EA" w:rsidP="009D4EFF">
            <w:pPr>
              <w:pStyle w:val="TableParagraph"/>
              <w:spacing w:after="120"/>
              <w:ind w:left="102" w:right="95"/>
              <w:jc w:val="both"/>
              <w:rPr>
                <w:rFonts w:ascii="Times New Roman" w:eastAsia="Times New Roman" w:hAnsi="Times New Roman"/>
                <w:sz w:val="24"/>
                <w:szCs w:val="24"/>
              </w:rPr>
            </w:pPr>
            <w:r>
              <w:rPr>
                <w:rFonts w:ascii="Times New Roman" w:hAnsi="Times New Roman"/>
                <w:sz w:val="24"/>
              </w:rPr>
              <w:t>Τα πιστωτικά ιδρύματα αναφέρουν σε αυτό το σημείο το ανεξόφλητο υπόλοιπο των διαφόρων κατηγοριών υποχρεώσεων και των δεσμεύσεων εκτός ισολογισμού, όπως ορίζεται στα άρθρα 22 έως 31 του κατ’ εξουσιοδότηση κανονισμού (ΕΕ) 2015/61.</w:t>
            </w:r>
          </w:p>
          <w:p w14:paraId="3F9C74E0" w14:textId="6D991277" w:rsidR="006E48EA" w:rsidRPr="000B6B22" w:rsidRDefault="006E48EA" w:rsidP="009D4EFF">
            <w:pPr>
              <w:pStyle w:val="TableParagraph"/>
              <w:spacing w:after="120"/>
              <w:ind w:left="102" w:right="97"/>
              <w:jc w:val="both"/>
              <w:rPr>
                <w:rFonts w:ascii="Times New Roman" w:eastAsia="Times New Roman" w:hAnsi="Times New Roman"/>
                <w:sz w:val="24"/>
                <w:szCs w:val="24"/>
              </w:rPr>
            </w:pPr>
            <w:r>
              <w:rPr>
                <w:rFonts w:ascii="Times New Roman" w:hAnsi="Times New Roman"/>
                <w:sz w:val="24"/>
              </w:rPr>
              <w:t>Με την επιφύλαξη της προηγούμενης έγκρισης της αρμόδιας αρχής στο πλαίσιο κάθε κατηγορίας εκροών, το ποσό κάθε στοιχείου που αναφέρεται στη στήλη 0010 του υποδείγματος C 73.00 του παραρτήματος XXIV συμψηφίζεται αφαιρώντας το σχετικό ποσό αλληλεξαρτώμενης εισροής σύμφωνα με το άρθρο 26.</w:t>
            </w:r>
          </w:p>
          <w:p w14:paraId="5C6EF840" w14:textId="024066ED" w:rsidR="006E48EA" w:rsidRPr="000B6B22" w:rsidRDefault="006E48EA" w:rsidP="009D4EFF">
            <w:pPr>
              <w:widowControl w:val="0"/>
              <w:tabs>
                <w:tab w:val="left" w:pos="397"/>
              </w:tabs>
              <w:spacing w:before="0"/>
              <w:ind w:left="396" w:hanging="294"/>
              <w:rPr>
                <w:rFonts w:ascii="Times New Roman" w:hAnsi="Times New Roman"/>
                <w:sz w:val="24"/>
              </w:rPr>
            </w:pPr>
            <w:r>
              <w:rPr>
                <w:rFonts w:ascii="Times New Roman" w:hAnsi="Times New Roman"/>
                <w:sz w:val="24"/>
                <w:u w:color="000000"/>
              </w:rPr>
              <w:t>1.2.</w:t>
            </w:r>
            <w:r>
              <w:tab/>
            </w:r>
            <w:r>
              <w:rPr>
                <w:rFonts w:ascii="Times New Roman" w:hAnsi="Times New Roman"/>
                <w:sz w:val="24"/>
                <w:u w:color="000000"/>
              </w:rPr>
              <w:t>Ειδικές οδηγίες για εξασφαλισμένες πιστοδοτήσεις και συναλλαγές με όρους κεφαλαιαγοράς:</w:t>
            </w:r>
          </w:p>
          <w:p w14:paraId="28368665" w14:textId="5133B1F1" w:rsidR="006E48EA" w:rsidRPr="000B6B22" w:rsidRDefault="006E48EA">
            <w:pPr>
              <w:pStyle w:val="TableParagraph"/>
              <w:spacing w:after="120"/>
              <w:ind w:left="102" w:right="95"/>
              <w:jc w:val="both"/>
              <w:rPr>
                <w:rFonts w:ascii="Times New Roman" w:eastAsia="Verdana" w:hAnsi="Times New Roman"/>
                <w:sz w:val="24"/>
                <w:szCs w:val="24"/>
              </w:rPr>
            </w:pPr>
            <w:r>
              <w:rPr>
                <w:rFonts w:ascii="Times New Roman" w:hAnsi="Times New Roman"/>
                <w:sz w:val="24"/>
              </w:rPr>
              <w:t>Τα πιστωτικά ιδρύματα αναφέρουν εδώ το ανεξόφλητο υπόλοιπο των υποχρεώσεων που αποτελούν το σκέλος μετρητών της εξασφαλισμένης συναλλαγής σύμφωνα με το άρθρο 22 παράγραφος 2 του κατ’ εξουσιοδότηση κανονισμού (ΕΕ) 2015/61.</w:t>
            </w:r>
          </w:p>
        </w:tc>
      </w:tr>
      <w:tr w:rsidR="00B47B7D" w:rsidRPr="000B6B22" w14:paraId="3117C8D7" w14:textId="77777777" w:rsidTr="00454544">
        <w:tc>
          <w:tcPr>
            <w:tcW w:w="1382" w:type="dxa"/>
            <w:shd w:val="clear" w:color="auto" w:fill="auto"/>
          </w:tcPr>
          <w:p w14:paraId="651E46DE" w14:textId="787E2072"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rPr>
              <w:lastRenderedPageBreak/>
              <w:t>0020</w:t>
            </w:r>
          </w:p>
        </w:tc>
        <w:tc>
          <w:tcPr>
            <w:tcW w:w="7140" w:type="dxa"/>
            <w:shd w:val="clear" w:color="auto" w:fill="auto"/>
          </w:tcPr>
          <w:p w14:paraId="559199C0"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u w:color="000000"/>
              </w:rPr>
              <w:t>Αγοραία αξία της παρεχόμενης εξασφάλισης</w:t>
            </w:r>
          </w:p>
          <w:p w14:paraId="269115EF" w14:textId="7BB94259" w:rsidR="006E48EA" w:rsidRPr="000B6B22" w:rsidRDefault="006E48EA" w:rsidP="009D4EFF">
            <w:pPr>
              <w:pStyle w:val="TableParagraph"/>
              <w:spacing w:after="120"/>
              <w:ind w:left="102"/>
              <w:jc w:val="both"/>
              <w:rPr>
                <w:rFonts w:ascii="Times New Roman" w:eastAsia="Times New Roman" w:hAnsi="Times New Roman"/>
                <w:sz w:val="24"/>
                <w:szCs w:val="24"/>
              </w:rPr>
            </w:pPr>
            <w:r>
              <w:rPr>
                <w:rFonts w:ascii="Times New Roman" w:hAnsi="Times New Roman"/>
                <w:sz w:val="24"/>
                <w:u w:color="000000"/>
              </w:rPr>
              <w:t>Ειδικές οδηγίες για εξασφαλισμένες πιστοδοτήσεις και συναλλαγές με όρους κεφαλαιαγοράς:</w:t>
            </w:r>
          </w:p>
          <w:p w14:paraId="40F3F30A" w14:textId="0D334FA4" w:rsidR="006E48EA" w:rsidRPr="000B6B22" w:rsidRDefault="006E48EA" w:rsidP="009D4EFF">
            <w:pPr>
              <w:pStyle w:val="TableParagraph"/>
              <w:spacing w:after="120"/>
              <w:ind w:left="102" w:right="98"/>
              <w:jc w:val="both"/>
              <w:rPr>
                <w:rFonts w:ascii="Times New Roman" w:eastAsia="Times New Roman" w:hAnsi="Times New Roman"/>
                <w:sz w:val="24"/>
                <w:szCs w:val="24"/>
              </w:rPr>
            </w:pPr>
            <w:r>
              <w:rPr>
                <w:rFonts w:ascii="Times New Roman" w:hAnsi="Times New Roman"/>
                <w:sz w:val="24"/>
              </w:rPr>
              <w:t>Τα πιστωτικά ιδρύματα αναφέρουν εδώ την αγοραία αξία των παρεχόμενων εξασφαλίσεων που υπολογίζεται ως η τρέχουσα αγοραία αξία προ των περικοπών και μετά την αφαίρεση των ροών που προκύπτουν από την εκκαθάριση των συναφών αντισταθμίσεων (σύμφωνα με το άρθρο 8 παράγραφος 5 του κατ’ εξουσιοδότηση κανονισμού (ΕΕ) 2015/61) και υπό τους ακόλουθους όρους:</w:t>
            </w:r>
          </w:p>
          <w:p w14:paraId="69BF95AE" w14:textId="04830200" w:rsidR="006E48EA" w:rsidRPr="000B6B22" w:rsidRDefault="006E48EA" w:rsidP="009D4EFF">
            <w:pPr>
              <w:widowControl w:val="0"/>
              <w:tabs>
                <w:tab w:val="left" w:pos="823"/>
              </w:tabs>
              <w:spacing w:before="0"/>
              <w:ind w:left="822" w:right="96"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Όταν το πιστωτικό ίδρυμα μπορεί να αναγνωρίσει μόνο μέρος των μετοχών του σε ξένο νόμισμα ή των στοιχείων ενεργητικού κεντρικής κυβέρνησης ή κεντρικής τράπεζας σε ξένο νόμισμα ή των στοιχείων ενεργητικού κεντρικής κυβέρνησης ή κεντρικής τράπεζας σε εθνικό νόμισμα ως υψηλής ποιότητας ρευστά στοιχεία ενεργητικού (HQLA), μόνο το αναγνωρίσιμο μέρος αναφέρεται στις γραμμές των στοιχείων ενεργητικού επιπέδων 1, 2Α και 2Β σύμφωνα με το άρθρο 12 παράγραφος 1 στοιχείο γ) σημείο ii) και το άρθρο 10 παράγραφος 1 στοιχείο δ) του κατ’ εξουσιοδότηση κανονισμού (ΕΕ) 2015/61. Όταν το συγκεκριμένο στοιχείο ενεργητικού χρησιμοποιείται ως ασφάλεια αλλά για ποσό το οποίο υπερβαίνει το τμήμα που μπορεί να αναγνωριστεί εντός των ρευστών στοιχείων ενεργητικού, το επιπλέον ποσό αναφέρεται στο τμήμα των μη ρευστών στοιχείων·</w:t>
            </w:r>
          </w:p>
          <w:p w14:paraId="666E509F" w14:textId="77777777" w:rsidR="006E48EA" w:rsidRPr="000B6B22" w:rsidRDefault="006E48EA" w:rsidP="009D4EFF">
            <w:pPr>
              <w:widowControl w:val="0"/>
              <w:tabs>
                <w:tab w:val="left" w:pos="823"/>
              </w:tabs>
              <w:spacing w:before="0"/>
              <w:ind w:left="822" w:right="95"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Τα στοιχεία ενεργητικού επιπέδου 2Α αναφέρονται στην αντίστοιχη γραμμή των στοιχείων ενεργητικού επιπέδου 2A, ακόμη και αν ακολουθείται η εναλλακτική προσέγγιση ρευστότητας (δηλαδή μη μετακινήσετε το επίπεδο 2Α στο επίπεδο 1 κατά την αναφορά εξασφαλισμένης συναλλαγής).</w:t>
            </w:r>
          </w:p>
        </w:tc>
      </w:tr>
      <w:tr w:rsidR="00B47B7D" w:rsidRPr="000B6B22" w14:paraId="3081BB14" w14:textId="77777777" w:rsidTr="00454544">
        <w:tc>
          <w:tcPr>
            <w:tcW w:w="1382" w:type="dxa"/>
            <w:shd w:val="clear" w:color="auto" w:fill="auto"/>
          </w:tcPr>
          <w:p w14:paraId="7880BB37" w14:textId="74E02C7A"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rPr>
              <w:t>0030</w:t>
            </w:r>
          </w:p>
        </w:tc>
        <w:tc>
          <w:tcPr>
            <w:tcW w:w="7140" w:type="dxa"/>
            <w:shd w:val="clear" w:color="auto" w:fill="auto"/>
          </w:tcPr>
          <w:p w14:paraId="7D9B2862" w14:textId="6BC9817C"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u w:color="000000"/>
              </w:rPr>
              <w:t>Αξία της παρεχόμενης εξασφάλισης σύμφωνα με το άρθρο 9</w:t>
            </w:r>
          </w:p>
          <w:p w14:paraId="148020B9"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sz w:val="24"/>
                <w:u w:color="000000"/>
              </w:rPr>
              <w:t>Ειδικές οδηγίες για εξασφαλισμένες πιστοδοτήσεις και συναλλαγές με όρους κεφαλαιαγοράς:</w:t>
            </w:r>
          </w:p>
          <w:p w14:paraId="09EEFD8D" w14:textId="58B96812" w:rsidR="006E48EA" w:rsidRPr="000B6B22" w:rsidRDefault="006E48EA">
            <w:pPr>
              <w:pStyle w:val="TableParagraph"/>
              <w:spacing w:after="120"/>
              <w:ind w:left="102" w:right="97"/>
              <w:jc w:val="both"/>
              <w:rPr>
                <w:rFonts w:ascii="Times New Roman" w:eastAsia="Verdana" w:hAnsi="Times New Roman"/>
                <w:sz w:val="24"/>
                <w:szCs w:val="24"/>
              </w:rPr>
            </w:pPr>
            <w:r>
              <w:rPr>
                <w:rFonts w:ascii="Times New Roman" w:hAnsi="Times New Roman"/>
                <w:sz w:val="24"/>
              </w:rPr>
              <w:t>Τα πιστωτικά ιδρύματα αναφέρουν εδώ την αξία της παρεχόμενης εξασφάλισης σύμφωνα με το άρθρο 9 του κατ’ εξουσιοδότηση κανονισμού (ΕΕ) 2015/61. Αυτή υπολογίζεται με πολλαπλασιασμό της στήλης 0020 του υποδείγματος C 73.00 του παραρτήματος XXIV επί τον εφαρμοστέο συντελεστή στάθμισης/ποσοστό περικοπής από το υπόδειγμα C 72.00 του παραρτήματος XXIV που αντιστοιχεί στο είδος του στοιχείου ενεργητικού. Η στήλη 0030 του υποδείγματος C 73.00 του παραρτήματος XXIV χρησιμοποιείται για τον υπολογισμό του προσαρμοσμένου ποσού των ρευστών στοιχείων ενεργητικού στο υπόδειγμα C 76.00 του παραρτήματος XXIV.</w:t>
            </w:r>
          </w:p>
        </w:tc>
      </w:tr>
      <w:tr w:rsidR="00B47B7D" w:rsidRPr="000B6B22" w14:paraId="4A9ED54B" w14:textId="77777777" w:rsidTr="00454544">
        <w:tc>
          <w:tcPr>
            <w:tcW w:w="1382" w:type="dxa"/>
            <w:shd w:val="clear" w:color="auto" w:fill="auto"/>
          </w:tcPr>
          <w:p w14:paraId="7BF2B239" w14:textId="4A58765D" w:rsidR="006E48EA" w:rsidRPr="000B6B22" w:rsidRDefault="00500145" w:rsidP="009D4EFF">
            <w:pPr>
              <w:pStyle w:val="TableParagraph"/>
              <w:spacing w:after="120"/>
              <w:ind w:left="102"/>
              <w:jc w:val="both"/>
              <w:rPr>
                <w:rFonts w:ascii="Times New Roman" w:hAnsi="Times New Roman"/>
                <w:sz w:val="24"/>
                <w:szCs w:val="24"/>
              </w:rPr>
            </w:pPr>
            <w:r>
              <w:rPr>
                <w:rFonts w:ascii="Times New Roman" w:hAnsi="Times New Roman"/>
                <w:sz w:val="24"/>
              </w:rPr>
              <w:t>0040</w:t>
            </w:r>
          </w:p>
        </w:tc>
        <w:tc>
          <w:tcPr>
            <w:tcW w:w="7140" w:type="dxa"/>
            <w:shd w:val="clear" w:color="auto" w:fill="auto"/>
          </w:tcPr>
          <w:p w14:paraId="7003D126" w14:textId="30F06F0D" w:rsidR="006E48EA" w:rsidRPr="000B6B22" w:rsidRDefault="006E48EA" w:rsidP="009D4EFF">
            <w:pPr>
              <w:pStyle w:val="TableParagraph"/>
              <w:spacing w:after="120"/>
              <w:ind w:left="102"/>
              <w:jc w:val="both"/>
              <w:rPr>
                <w:rStyle w:val="FormatvorlageInstructionsTabelleText"/>
                <w:rFonts w:ascii="Times New Roman" w:hAnsi="Times New Roman"/>
                <w:b/>
                <w:bCs w:val="0"/>
                <w:sz w:val="24"/>
                <w:szCs w:val="24"/>
              </w:rPr>
            </w:pPr>
            <w:r>
              <w:rPr>
                <w:rFonts w:ascii="Times New Roman" w:hAnsi="Times New Roman"/>
                <w:b/>
                <w:sz w:val="24"/>
                <w:u w:color="000000"/>
              </w:rPr>
              <w:t>Πάγιος συντελεστής στάθμισης</w:t>
            </w:r>
          </w:p>
          <w:p w14:paraId="5D7B80A9" w14:textId="36FFF792" w:rsidR="006E48EA" w:rsidRPr="000B6B22" w:rsidRDefault="006E48EA">
            <w:pPr>
              <w:pStyle w:val="InstructionsText"/>
              <w:spacing w:after="120"/>
              <w:rPr>
                <w:rStyle w:val="FormatvorlageInstructionsTabelleText"/>
                <w:rFonts w:ascii="Times New Roman" w:eastAsia="Calibri" w:hAnsi="Times New Roman"/>
                <w:sz w:val="24"/>
                <w:szCs w:val="24"/>
              </w:rPr>
            </w:pPr>
            <w:r>
              <w:rPr>
                <w:rStyle w:val="FormatvorlageInstructionsTabelleText"/>
                <w:rFonts w:ascii="Times New Roman" w:hAnsi="Times New Roman"/>
                <w:sz w:val="24"/>
              </w:rPr>
              <w:t>Άρθρα 24 έως 31α του κατ’ εξουσιοδότηση κανονισμού (ΕΕ) 2015/61</w:t>
            </w:r>
          </w:p>
          <w:p w14:paraId="0948D84E" w14:textId="12E11048" w:rsidR="006E48EA" w:rsidRPr="000B6B22" w:rsidRDefault="006E48EA" w:rsidP="009D4EFF">
            <w:pPr>
              <w:pStyle w:val="TableParagraph"/>
              <w:spacing w:after="120"/>
              <w:jc w:val="both"/>
              <w:rPr>
                <w:rFonts w:ascii="Times New Roman" w:eastAsia="Times New Roman" w:hAnsi="Times New Roman"/>
                <w:sz w:val="24"/>
                <w:szCs w:val="24"/>
              </w:rPr>
            </w:pPr>
            <w:r>
              <w:rPr>
                <w:rStyle w:val="FormatvorlageInstructionsTabelleText"/>
                <w:rFonts w:ascii="Times New Roman" w:hAnsi="Times New Roman"/>
                <w:sz w:val="24"/>
              </w:rPr>
              <w:t xml:space="preserve">Οι πάγιοι συντελεστές στάθμισης στη στήλη 0040 είναι εκείνοι που </w:t>
            </w:r>
            <w:r>
              <w:rPr>
                <w:rStyle w:val="FormatvorlageInstructionsTabelleText"/>
                <w:rFonts w:ascii="Times New Roman" w:hAnsi="Times New Roman"/>
                <w:sz w:val="24"/>
              </w:rPr>
              <w:lastRenderedPageBreak/>
              <w:t>καθορίζονται στον κατ’ εξουσιοδότηση κανονισμό (ΕΕ) 2015/61 εξ ορισμού και παρέχονται μόνο για ενημερωτικούς λόγους.</w:t>
            </w:r>
          </w:p>
        </w:tc>
      </w:tr>
      <w:tr w:rsidR="00B47B7D" w:rsidRPr="000B6B22" w14:paraId="3479A129" w14:textId="77777777" w:rsidTr="00454544">
        <w:tc>
          <w:tcPr>
            <w:tcW w:w="1382" w:type="dxa"/>
            <w:shd w:val="clear" w:color="auto" w:fill="auto"/>
          </w:tcPr>
          <w:p w14:paraId="4A69777C" w14:textId="1927B6AB"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rPr>
              <w:lastRenderedPageBreak/>
              <w:t>0050</w:t>
            </w:r>
          </w:p>
        </w:tc>
        <w:tc>
          <w:tcPr>
            <w:tcW w:w="7140" w:type="dxa"/>
            <w:shd w:val="clear" w:color="auto" w:fill="auto"/>
          </w:tcPr>
          <w:p w14:paraId="4B19B6B3"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u w:color="000000"/>
              </w:rPr>
              <w:t>Εφαρμοστέος συντελεστής στάθμισης</w:t>
            </w:r>
          </w:p>
          <w:p w14:paraId="17CD4269"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sz w:val="24"/>
              </w:rPr>
              <w:t>Τόσο μη εξασφαλισμένη όσο και εξασφαλισμένη:</w:t>
            </w:r>
          </w:p>
          <w:p w14:paraId="26F2321F" w14:textId="38837FED" w:rsidR="006E48EA" w:rsidRPr="000B6B22" w:rsidRDefault="006E48EA">
            <w:pPr>
              <w:pStyle w:val="TableParagraph"/>
              <w:spacing w:after="120"/>
              <w:ind w:left="102" w:right="96"/>
              <w:jc w:val="both"/>
              <w:rPr>
                <w:rFonts w:ascii="Times New Roman" w:eastAsia="Verdana" w:hAnsi="Times New Roman"/>
                <w:sz w:val="24"/>
                <w:szCs w:val="24"/>
              </w:rPr>
            </w:pPr>
            <w:r>
              <w:rPr>
                <w:rFonts w:ascii="Times New Roman" w:hAnsi="Times New Roman"/>
                <w:sz w:val="24"/>
              </w:rPr>
              <w:t>Τα πιστωτικά ιδρύματα αναφέρουν εδώ τους εφαρμοστέους συντελεστές στάθμισης. Οι εν λόγω συντελεστές στάθμισης είναι εκείνοι που καθορίζονται στο άρθρο 22 έως άρθρο 31α του κατ’ εξουσιοδότηση κανονισμού (ΕΕ) 2015/61. Οι εφαρμοστέοι συντελεστές στάθμισης μπορεί να οδηγήσουν σε σταθμισμένες μέσες τιμές και αναφέρονται σε δεκαδικά (δηλαδή 1,00 για εφαρμοστέο συντελεστή 100 τοις εκατό ή 0,50 για εφαρμοστέο συντελεστή 50 τοις εκατό). Οι εφαρμοστέοι συντελεστές στάθμισης μπορεί να αντικατοπτρίζουν, αλλά δεν περιορίζονται σε ειδική διακριτική ευχέρεια εταιρειών ή κρατών μελών.</w:t>
            </w:r>
          </w:p>
        </w:tc>
      </w:tr>
      <w:tr w:rsidR="006E48EA" w:rsidRPr="000B6B22" w14:paraId="559C78B0" w14:textId="77777777" w:rsidTr="00454544">
        <w:tc>
          <w:tcPr>
            <w:tcW w:w="1382" w:type="dxa"/>
            <w:shd w:val="clear" w:color="auto" w:fill="auto"/>
          </w:tcPr>
          <w:p w14:paraId="392869D4" w14:textId="2935F327"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rPr>
              <w:t>0060</w:t>
            </w:r>
          </w:p>
        </w:tc>
        <w:tc>
          <w:tcPr>
            <w:tcW w:w="7140" w:type="dxa"/>
            <w:shd w:val="clear" w:color="auto" w:fill="auto"/>
          </w:tcPr>
          <w:p w14:paraId="5E70ABE0" w14:textId="77777777" w:rsidR="006E48EA" w:rsidRPr="000B6B22" w:rsidRDefault="006E48EA" w:rsidP="009D4EFF">
            <w:pPr>
              <w:pStyle w:val="TableParagraph"/>
              <w:spacing w:after="120"/>
              <w:ind w:left="102"/>
              <w:jc w:val="both"/>
              <w:rPr>
                <w:rFonts w:ascii="Times New Roman" w:eastAsia="Verdana" w:hAnsi="Times New Roman"/>
                <w:sz w:val="24"/>
                <w:szCs w:val="24"/>
              </w:rPr>
            </w:pPr>
            <w:r>
              <w:rPr>
                <w:rFonts w:ascii="Times New Roman" w:hAnsi="Times New Roman"/>
                <w:b/>
                <w:sz w:val="24"/>
              </w:rPr>
              <w:t>Εκροή</w:t>
            </w:r>
          </w:p>
          <w:p w14:paraId="4C57A5CF" w14:textId="77777777" w:rsidR="006E48EA" w:rsidRPr="000B6B22" w:rsidRDefault="006E48EA" w:rsidP="009D4EFF">
            <w:pPr>
              <w:pStyle w:val="TableParagraph"/>
              <w:spacing w:after="120"/>
              <w:ind w:left="102"/>
              <w:jc w:val="both"/>
              <w:rPr>
                <w:rFonts w:ascii="Times New Roman" w:eastAsia="Verdana" w:hAnsi="Times New Roman"/>
                <w:sz w:val="24"/>
                <w:szCs w:val="24"/>
              </w:rPr>
            </w:pPr>
            <w:r>
              <w:rPr>
                <w:rFonts w:ascii="Times New Roman" w:hAnsi="Times New Roman"/>
                <w:sz w:val="24"/>
              </w:rPr>
              <w:t>Τόσο μη εξασφαλισμένη όσο και εξασφαλισμένη:</w:t>
            </w:r>
          </w:p>
          <w:p w14:paraId="41041B6A" w14:textId="01F76C61" w:rsidR="006E48EA" w:rsidRPr="000B6B22" w:rsidRDefault="006E48EA" w:rsidP="009D4EFF">
            <w:pPr>
              <w:pStyle w:val="TableParagraph"/>
              <w:spacing w:after="120"/>
              <w:ind w:left="102" w:right="98"/>
              <w:jc w:val="both"/>
              <w:rPr>
                <w:rFonts w:ascii="Times New Roman" w:eastAsia="Verdana" w:hAnsi="Times New Roman"/>
                <w:sz w:val="24"/>
                <w:szCs w:val="24"/>
              </w:rPr>
            </w:pPr>
            <w:r>
              <w:rPr>
                <w:rFonts w:ascii="Times New Roman" w:hAnsi="Times New Roman"/>
                <w:sz w:val="24"/>
              </w:rPr>
              <w:t>Τα πιστωτικά ιδρύματα αναφέρουν εδώ τις εκροές. Οι εν λόγω εκροές υπολογίζονται με πολλαπλασιασμό του ποσού της στήλης 0010 στο υπόδειγμα C 73.00 του παραρτήματος XXIV επί το ποσό της στήλης 0050 στο υπόδειγμα C 73.00 του παραρτήματος XXIV.</w:t>
            </w:r>
          </w:p>
        </w:tc>
      </w:tr>
    </w:tbl>
    <w:p w14:paraId="6ECEE734" w14:textId="77777777" w:rsidR="006E48EA" w:rsidRPr="000B6B22" w:rsidRDefault="006E48EA" w:rsidP="009D4EFF">
      <w:pPr>
        <w:spacing w:before="0"/>
        <w:rPr>
          <w:rFonts w:ascii="Times New Roman" w:eastAsia="Calibri" w:hAnsi="Times New Roman"/>
          <w:sz w:val="24"/>
        </w:rPr>
      </w:pPr>
    </w:p>
    <w:p w14:paraId="1288ABFB" w14:textId="50D52958"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1.4</w:t>
      </w:r>
      <w:r w:rsidRPr="00301219">
        <w:rPr>
          <w:rFonts w:ascii="Times New Roman" w:hAnsi="Times New Roman"/>
          <w:sz w:val="24"/>
          <w:u w:val="none"/>
        </w:rPr>
        <w:t>.</w:t>
      </w:r>
      <w:r w:rsidRPr="00301219">
        <w:rPr>
          <w:u w:val="none"/>
        </w:rPr>
        <w:tab/>
      </w:r>
      <w:r>
        <w:rPr>
          <w:rFonts w:ascii="Times New Roman" w:hAnsi="Times New Roman"/>
          <w:sz w:val="24"/>
          <w:u w:val="none"/>
        </w:rPr>
        <w:t>Οδηγίες για συγκεκριμένες γραμμές</w:t>
      </w:r>
    </w:p>
    <w:tbl>
      <w:tblPr>
        <w:tblW w:w="8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6946"/>
      </w:tblGrid>
      <w:tr w:rsidR="00B47B7D" w:rsidRPr="000B6B22" w14:paraId="79A53EB1" w14:textId="77777777" w:rsidTr="00454544">
        <w:tc>
          <w:tcPr>
            <w:tcW w:w="1457" w:type="dxa"/>
            <w:shd w:val="clear" w:color="auto" w:fill="auto"/>
          </w:tcPr>
          <w:p w14:paraId="203A79DA"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Γραμμή</w:t>
            </w:r>
          </w:p>
        </w:tc>
        <w:tc>
          <w:tcPr>
            <w:tcW w:w="6946" w:type="dxa"/>
            <w:shd w:val="clear" w:color="auto" w:fill="auto"/>
          </w:tcPr>
          <w:p w14:paraId="7E616679"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Νομικά κείμενα αναφοράς και οδηγίες</w:t>
            </w:r>
          </w:p>
        </w:tc>
      </w:tr>
      <w:tr w:rsidR="00B47B7D" w:rsidRPr="000B6B22" w14:paraId="415C3811" w14:textId="77777777" w:rsidTr="00454544">
        <w:tc>
          <w:tcPr>
            <w:tcW w:w="1457" w:type="dxa"/>
            <w:shd w:val="clear" w:color="auto" w:fill="auto"/>
            <w:vAlign w:val="center"/>
          </w:tcPr>
          <w:p w14:paraId="53630D8D" w14:textId="0B7A0E5B" w:rsidR="006E48EA" w:rsidRPr="000B6B22" w:rsidRDefault="00500145"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0010</w:t>
            </w:r>
          </w:p>
        </w:tc>
        <w:tc>
          <w:tcPr>
            <w:tcW w:w="6946" w:type="dxa"/>
            <w:shd w:val="clear" w:color="auto" w:fill="auto"/>
          </w:tcPr>
          <w:p w14:paraId="4FF04580"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 ΕΚΡΟΕΣ</w:t>
            </w:r>
          </w:p>
          <w:p w14:paraId="56F18262" w14:textId="138DB5D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Κεφάλαιο 2 του τίτλου ΙΙΙ του κατ’ εξουσιοδότηση κανονισμού (ΕΕ) 2015/61</w:t>
            </w:r>
          </w:p>
          <w:p w14:paraId="1935D5EA" w14:textId="5F3A435E"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Τα πιστωτικά ιδρύματα αναφέρουν εδώ τις εκροές σύμφωνα με το κεφάλαιο 2 του τίτλου ΙΙΙ του κατ’ εξουσιοδότηση κανονισμού (ΕΕ) 2015/61.</w:t>
            </w:r>
          </w:p>
        </w:tc>
      </w:tr>
      <w:tr w:rsidR="00B47B7D" w:rsidRPr="000B6B22" w14:paraId="0DF21387" w14:textId="77777777" w:rsidTr="00454544">
        <w:tc>
          <w:tcPr>
            <w:tcW w:w="1457" w:type="dxa"/>
            <w:shd w:val="clear" w:color="auto" w:fill="auto"/>
            <w:vAlign w:val="center"/>
          </w:tcPr>
          <w:p w14:paraId="09DFB7A6" w14:textId="1D57CB54"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0020</w:t>
            </w:r>
          </w:p>
        </w:tc>
        <w:tc>
          <w:tcPr>
            <w:tcW w:w="6946" w:type="dxa"/>
            <w:shd w:val="clear" w:color="auto" w:fill="auto"/>
          </w:tcPr>
          <w:p w14:paraId="01648950"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 Εκροές από μη εξασφαλισμένες συναλλαγές/καταθέσεις</w:t>
            </w:r>
          </w:p>
          <w:p w14:paraId="248A899A" w14:textId="643713A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Άρθρα 20 έως 31α του κατ’ εξουσιοδότηση κανονισμού (ΕΕ) 2015/61</w:t>
            </w:r>
          </w:p>
          <w:p w14:paraId="78F945A7" w14:textId="5937433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Τα πιστωτικά ιδρύματα αναφέρουν εδώ τις εκροές σύμφωνα με τα άρθρα 21 έως 31α του κατ’ εξουσιοδότηση κανονισμού (ΕΕ) 2015/61, εξαιρουμένων των εκροών που αναφέρονται σύμφωνα με το άρθρο 28 παράγραφοι 3 και 4 του εν λόγω κατ’ εξουσιοδότηση κανονισμού.</w:t>
            </w:r>
          </w:p>
        </w:tc>
      </w:tr>
      <w:tr w:rsidR="00B47B7D" w:rsidRPr="000B6B22" w14:paraId="3939646C" w14:textId="77777777" w:rsidTr="00454544">
        <w:tc>
          <w:tcPr>
            <w:tcW w:w="1457" w:type="dxa"/>
            <w:shd w:val="clear" w:color="auto" w:fill="auto"/>
            <w:vAlign w:val="center"/>
          </w:tcPr>
          <w:p w14:paraId="1AE3DF43" w14:textId="3E8748B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0030</w:t>
            </w:r>
          </w:p>
        </w:tc>
        <w:tc>
          <w:tcPr>
            <w:tcW w:w="6946" w:type="dxa"/>
            <w:shd w:val="clear" w:color="auto" w:fill="auto"/>
          </w:tcPr>
          <w:p w14:paraId="0E572917"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1.1.1. Καταθέσεις λιανικής</w:t>
            </w:r>
          </w:p>
          <w:p w14:paraId="080B8141" w14:textId="54FDDEC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Άρθρα 24 και 25 του κατ’ εξουσιοδότηση κανονισμού (ΕΕ) 2015/61</w:t>
            </w:r>
          </w:p>
          <w:p w14:paraId="54318650" w14:textId="0C057DBD"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Τα πιστωτικά ιδρύματα αναφέρουν εδώ τις καταθέσεις λιανικής, όπως ορίζονται στο άρθρο 411 παράγραφος 2 του κανονισμού (ΕΕ) αριθ. 575/2013.</w:t>
            </w:r>
          </w:p>
          <w:p w14:paraId="48E5F6C9" w14:textId="6D2B5284" w:rsidR="006E48EA" w:rsidRPr="000B6B22" w:rsidRDefault="00762F31" w:rsidP="009D4EFF">
            <w:pPr>
              <w:pStyle w:val="TableParagraph"/>
              <w:spacing w:after="120"/>
              <w:jc w:val="both"/>
              <w:rPr>
                <w:rFonts w:ascii="Times New Roman" w:eastAsia="Verdana" w:hAnsi="Times New Roman"/>
                <w:sz w:val="24"/>
                <w:szCs w:val="24"/>
              </w:rPr>
            </w:pPr>
            <w:r>
              <w:rPr>
                <w:rFonts w:ascii="Times New Roman" w:hAnsi="Times New Roman"/>
                <w:sz w:val="24"/>
              </w:rPr>
              <w:t xml:space="preserve">Τα πιστωτικά ιδρύματα αναφέρουν επίσης στην αντίστοιχη κατηγορία καταθέσεων λιανικής το ποσό των γραμματίων, ομολογιών και λοιπών </w:t>
            </w:r>
            <w:r>
              <w:rPr>
                <w:rFonts w:ascii="Times New Roman" w:hAnsi="Times New Roman"/>
                <w:sz w:val="24"/>
              </w:rPr>
              <w:lastRenderedPageBreak/>
              <w:t>τίτλων που πωλούνται αποκλειστικά στη λιανική αγορά, που τηρούνται σε λογαριασμό λιανικής, όπως αναφέρεται στο άρθρο 28 παράγραφος 6 του κατ’ εξουσιοδότηση κανονισμού (ΕΕ) 2015/61. Τα πιστωτικά ιδρύματα λαμβάνουν υπόψη για την εν λόγω κατηγορία υποχρεώσεων τα εφαρμοστέα ποσοστά εκροών που προβλέπονται από τον κατ’ εξουσιοδότηση κανονισμό (ΕΕ) 2015/61 για τις διάφορες κατηγορίες καταθέσεων λιανικής. Αντιστοίχως, τα πιστωτικά ιδρύματα αναφέρουν ως εφαρμοστέο συντελεστή στάθμισης τον μέσο όρο των σχετικών εφαρμοστέων συντελεστών στάθμισης για όλες αυτές τις καταθέσεις.</w:t>
            </w:r>
          </w:p>
        </w:tc>
      </w:tr>
      <w:tr w:rsidR="00B47B7D" w:rsidRPr="000B6B22" w14:paraId="60009A79" w14:textId="77777777" w:rsidTr="00454544">
        <w:tc>
          <w:tcPr>
            <w:tcW w:w="1457" w:type="dxa"/>
            <w:shd w:val="clear" w:color="auto" w:fill="auto"/>
            <w:vAlign w:val="center"/>
          </w:tcPr>
          <w:p w14:paraId="69CE502F" w14:textId="21BBFFF2"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lastRenderedPageBreak/>
              <w:t>0035</w:t>
            </w:r>
          </w:p>
        </w:tc>
        <w:tc>
          <w:tcPr>
            <w:tcW w:w="6946" w:type="dxa"/>
            <w:shd w:val="clear" w:color="auto" w:fill="auto"/>
          </w:tcPr>
          <w:p w14:paraId="7C708298" w14:textId="381B700D" w:rsidR="006E48EA" w:rsidRPr="000B6B22" w:rsidRDefault="003063B8" w:rsidP="009D4EFF">
            <w:pPr>
              <w:pStyle w:val="TableParagraph"/>
              <w:spacing w:after="120"/>
              <w:jc w:val="both"/>
              <w:rPr>
                <w:rFonts w:ascii="Times New Roman" w:eastAsia="Verdana" w:hAnsi="Times New Roman"/>
                <w:b/>
                <w:sz w:val="24"/>
                <w:szCs w:val="24"/>
              </w:rPr>
            </w:pPr>
            <w:r>
              <w:rPr>
                <w:rFonts w:ascii="Times New Roman" w:hAnsi="Times New Roman"/>
                <w:b/>
                <w:sz w:val="24"/>
              </w:rPr>
              <w:t>1.1.1.1. καταθέσεις που εξαιρούνται από τον υπολογισμό των εκροών</w:t>
            </w:r>
          </w:p>
          <w:p w14:paraId="09103CBF" w14:textId="2F5392A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Άρθρο 25 παράγραφος 4 του κατ’ εξουσιοδότηση κανονισμού (ΕΕ) 2015/61.</w:t>
            </w:r>
          </w:p>
          <w:p w14:paraId="79878B86" w14:textId="342E5DD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Τα πιστωτικά ιδρύματα αναφέρουν εδώ τις κατηγορίες καταθέσεων λιανικής που εξαιρούνται από τον υπολογισμό των εκροών, εφόσον πληρούνται οι προϋποθέσεις του άρθρου 25 παράγραφος 4 στοιχεία α) και β).</w:t>
            </w:r>
          </w:p>
        </w:tc>
      </w:tr>
      <w:tr w:rsidR="00B47B7D" w:rsidRPr="000B6B22" w14:paraId="44E2BD71" w14:textId="77777777" w:rsidTr="00454544">
        <w:tc>
          <w:tcPr>
            <w:tcW w:w="1457" w:type="dxa"/>
            <w:shd w:val="clear" w:color="auto" w:fill="auto"/>
            <w:vAlign w:val="center"/>
          </w:tcPr>
          <w:p w14:paraId="12330B79" w14:textId="7CF4B6D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0040</w:t>
            </w:r>
          </w:p>
        </w:tc>
        <w:tc>
          <w:tcPr>
            <w:tcW w:w="6946" w:type="dxa"/>
            <w:shd w:val="clear" w:color="auto" w:fill="auto"/>
          </w:tcPr>
          <w:p w14:paraId="3580AAC0" w14:textId="37D8AD83"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rPr>
              <w:t>1.1.1.2. καταθέσεις με συμφωνία επιστροφής εντός των επόμενων 30 ημερών</w:t>
            </w:r>
          </w:p>
          <w:p w14:paraId="07FB69D1" w14:textId="71D227D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Άρθρο 25 παράγραφος 4 του κατ’ εξουσιοδότηση κανονισμού (ΕΕ) 2015/61.</w:t>
            </w:r>
          </w:p>
          <w:p w14:paraId="3DC4E06E"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Τα πιστωτικά ιδρύματα αναφέρουν εδώ καταθέσεις με εναπομένουσα διάρκεια μικρότερη των 30 ημερών εφόσον έχει συμφωνηθεί αποπληρωμή.</w:t>
            </w:r>
          </w:p>
        </w:tc>
      </w:tr>
      <w:tr w:rsidR="00B47B7D" w:rsidRPr="000B6B22" w14:paraId="464CA1E1" w14:textId="77777777" w:rsidTr="00454544">
        <w:tc>
          <w:tcPr>
            <w:tcW w:w="1457" w:type="dxa"/>
            <w:shd w:val="clear" w:color="auto" w:fill="auto"/>
            <w:vAlign w:val="center"/>
          </w:tcPr>
          <w:p w14:paraId="498A7DF4" w14:textId="5C36C64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0050</w:t>
            </w:r>
          </w:p>
        </w:tc>
        <w:tc>
          <w:tcPr>
            <w:tcW w:w="6946" w:type="dxa"/>
            <w:shd w:val="clear" w:color="auto" w:fill="auto"/>
          </w:tcPr>
          <w:p w14:paraId="1101E54A" w14:textId="0E853F2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1.1.1.3. καταθέσεις που υπόκεινται σε υψηλότερες εκροές</w:t>
            </w:r>
          </w:p>
          <w:p w14:paraId="17D57840" w14:textId="26503CA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Άρθρο 25 παράγραφοι 2 και 3 του κατ’ εξουσιοδότηση κανονισμού (ΕΕ) 2015/61</w:t>
            </w:r>
          </w:p>
          <w:p w14:paraId="1A624062" w14:textId="0E1A4712"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Τα πιστωτικά ιδρύματα αναφέρουν εδώ όλο το υπόλοιπο των καταθέσεων που υπόκεινται σε υψηλότερα ποσοστά εκροής σύμφωνα με το άρθρο 25 παράγραφοι 2 και 3 του κατ’ εξουσιοδότηση κανονισμού (ΕΕ) 2015/61. Οι εν λόγω καταθέσεις λιανικής, εάν η εκτίμηση που αναφέρεται στο άρθρο 25 παράγραφος 2 του κατ’ εξουσιοδότηση κανονισμού (ΕΕ) 2015/61 για τον χαρακτηρισμό τους δεν έχει πραγματοποιηθεί ή δεν έχει ολοκληρωθεί, αναφέρονται επίσης εδώ.</w:t>
            </w:r>
          </w:p>
        </w:tc>
      </w:tr>
      <w:tr w:rsidR="00B47B7D" w:rsidRPr="000B6B22" w14:paraId="1D8899F2" w14:textId="77777777" w:rsidTr="00454544">
        <w:tc>
          <w:tcPr>
            <w:tcW w:w="1457" w:type="dxa"/>
            <w:shd w:val="clear" w:color="auto" w:fill="auto"/>
            <w:vAlign w:val="center"/>
          </w:tcPr>
          <w:p w14:paraId="04EB0A03" w14:textId="54A41A1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0060</w:t>
            </w:r>
          </w:p>
        </w:tc>
        <w:tc>
          <w:tcPr>
            <w:tcW w:w="6946" w:type="dxa"/>
            <w:shd w:val="clear" w:color="auto" w:fill="auto"/>
          </w:tcPr>
          <w:p w14:paraId="39CB07BF" w14:textId="28D4765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1.1.1.3.1. Κατηγορία 1</w:t>
            </w:r>
          </w:p>
          <w:p w14:paraId="1F457005" w14:textId="1F4F18B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Άρθρο 25 παράγραφος 3 του κατ’ εξουσιοδότηση κανονισμού (ΕΕ) 2015/61</w:t>
            </w:r>
          </w:p>
          <w:p w14:paraId="5191EB47" w14:textId="2125300B"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 xml:space="preserve">Τα πιστωτικά ιδρύματα αναφέρουν το ποσό του συνολικού υπολοίπου κάθε κατάθεσης λιανικής που πληροί τα κριτήρια του άρθρου 25 παράγραφος 2 στοιχείο α) ή δύο από τα κριτήρια του άρθρου 25 παράγραφος 2 στοιχεία β) έως ε) του κατ’ εξουσιοδότηση κανονισμού (ΕΕ) 2015/61, εκτός εάν οι εν λόγω καταθέσεις έχουν ληφθεί σε τρίτες χώρες όπου εφαρμόζεται υψηλότερο ποσοστό </w:t>
            </w:r>
            <w:r>
              <w:rPr>
                <w:rFonts w:ascii="Times New Roman" w:hAnsi="Times New Roman"/>
                <w:sz w:val="24"/>
              </w:rPr>
              <w:lastRenderedPageBreak/>
              <w:t>εκροής, σύμφωνα με το άρθρο 25 παράγραφος 5 του κατ’ εξουσιοδότηση κανονισμού (ΕΕ) 2015/61, οπότε δηλώνονται σε αυτή την κατηγορία.</w:t>
            </w:r>
          </w:p>
          <w:p w14:paraId="097D0DD7" w14:textId="54FC4871"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Τα πιστωτικά ιδρύματα αναφέρουν ως εφαρμοστέο συντελεστή στάθμισης τον μέσο όρο των συντελεστών στάθμισης, είτε των πάγιων συντελεστών που προβλέπονται εξ ορισμού στο άρθρο 25 παράγραφος 3 στοιχείο α) του κατ’ εξουσιοδότηση κανονισμού (ΕΕ) 2015/61 είτε υψηλότερων συντελεστών, εάν εφαρμόζονται από αρμόδια αρχή, οι οποίοι έχουν εφαρμοστεί πράγματι επί του συνολικού ποσού κάθε κατάθεσης που αναφέρεται στην προηγούμενη παράγραφο και σταθμιστεί με τα αναφερθέντα αντίστοιχα ποσά.</w:t>
            </w:r>
          </w:p>
        </w:tc>
      </w:tr>
      <w:tr w:rsidR="00B47B7D" w:rsidRPr="000B6B22" w14:paraId="0D4B0E60" w14:textId="77777777" w:rsidTr="00454544">
        <w:tc>
          <w:tcPr>
            <w:tcW w:w="1457" w:type="dxa"/>
            <w:shd w:val="clear" w:color="auto" w:fill="auto"/>
            <w:vAlign w:val="center"/>
          </w:tcPr>
          <w:p w14:paraId="1C868C2B" w14:textId="17EDD99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0070</w:t>
            </w:r>
          </w:p>
        </w:tc>
        <w:tc>
          <w:tcPr>
            <w:tcW w:w="6946" w:type="dxa"/>
            <w:shd w:val="clear" w:color="auto" w:fill="auto"/>
          </w:tcPr>
          <w:p w14:paraId="78E75DB7" w14:textId="5EBED82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1.1.1.3.2. Κατηγορία 2</w:t>
            </w:r>
          </w:p>
          <w:p w14:paraId="174C620D" w14:textId="6D7402A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Άρθρο 25 παράγραφος 3 του κατ’ εξουσιοδότηση κανονισμού (ΕΕ) 2015/61</w:t>
            </w:r>
          </w:p>
          <w:p w14:paraId="6A9CC7D7" w14:textId="2AB0D9CF"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Τα πιστωτικά ιδρύματα αναφέρουν το ποσό του συνολικού υπολοίπου κάθε κατάθεσης λιανικής που πληροί τα κριτήρια του άρθρου 25 παράγραφος 2 στοιχείο α) του κατ’ εξουσιοδότηση κανονισμού (ΕΕ) 2015/61 και τουλάχιστον ένα ακόμη από τα κριτήρια που αναφέρονται στο άρθρο 25 παράγραφος 2, ή τρία ή περισσότερα από τα κριτήρια του άρθρου 25 παράγραφος 2, εκτός εάν οι εν λόγω καταθέσεις έχουν ληφθεί σε τρίτες χώρες όπου εφαρμόζονται υψηλότερα ποσοστά εκροής σύμφωνα με το άρθρο 25 παράγραφος 5 του κατ’ εξουσιοδότηση κανονισμού (ΕΕ) 2015/61 και, σε αυτή την περίπτωση, δηλώνονται σε αυτή την κατηγορία.</w:t>
            </w:r>
          </w:p>
          <w:p w14:paraId="1E381B1B" w14:textId="2B60B77E"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Οι εν λόγω καταθέσεις λιανικής, εάν η εκτίμηση που αναφέρεται στο άρθρο 25 παράγραφος 2 για τον χαρακτηρισμό τους δεν έχει πραγματοποιηθεί ή δεν έχει ολοκληρωθεί, αναφέρονται επίσης εδώ.</w:t>
            </w:r>
          </w:p>
          <w:p w14:paraId="3A0FDAD6" w14:textId="0984057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Τα πιστωτικά ιδρύματα αναφέρουν ως εφαρμοστέο συντελεστή στάθμισης τον μέσο όρο των συντελεστών στάθμισης, είτε των πάγιων συντελεστών που προβλέπονται εξ ορισμού στο άρθρο 25 παράγραφος 3 στοιχείο β) του κατ’ εξουσιοδότηση κανονισμού (ΕΕ) 2015/61 είτε υψηλότερων συντελεστών, εάν εφαρμόζονται από αρμόδια αρχή, οι οποίοι έχουν εφαρμοστεί επί του συνολικού ποσού κάθε κατάθεσης που αναφέρεται στις προηγούμενες παραγράφους και σταθμιστεί με τα αναφερθέντα αντίστοιχα ποσά.</w:t>
            </w:r>
          </w:p>
        </w:tc>
      </w:tr>
      <w:tr w:rsidR="00B47B7D" w:rsidRPr="000B6B22" w14:paraId="219456A4" w14:textId="77777777" w:rsidTr="00454544">
        <w:tc>
          <w:tcPr>
            <w:tcW w:w="1457" w:type="dxa"/>
            <w:shd w:val="clear" w:color="auto" w:fill="auto"/>
            <w:vAlign w:val="center"/>
          </w:tcPr>
          <w:p w14:paraId="1373290F" w14:textId="10745E64"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0080</w:t>
            </w:r>
          </w:p>
        </w:tc>
        <w:tc>
          <w:tcPr>
            <w:tcW w:w="6946" w:type="dxa"/>
            <w:shd w:val="clear" w:color="auto" w:fill="auto"/>
          </w:tcPr>
          <w:p w14:paraId="080C9E5A" w14:textId="5A7791B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1.1.1.4. σταθερές καταθέσεις</w:t>
            </w:r>
          </w:p>
          <w:p w14:paraId="5CCEB5F0" w14:textId="28D340C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Άρθρο 24 του κατ’ εξουσιοδότηση κανονισμού (ΕΕ) 2015/61</w:t>
            </w:r>
          </w:p>
          <w:p w14:paraId="78382562" w14:textId="0FA663FD" w:rsidR="006E48EA" w:rsidRPr="000B6B22" w:rsidRDefault="006E48EA" w:rsidP="009D4EFF">
            <w:pPr>
              <w:pStyle w:val="TableParagraph"/>
              <w:spacing w:after="120"/>
              <w:ind w:right="97"/>
              <w:jc w:val="both"/>
              <w:rPr>
                <w:rFonts w:ascii="Times New Roman" w:eastAsia="Times New Roman" w:hAnsi="Times New Roman"/>
                <w:sz w:val="24"/>
                <w:szCs w:val="24"/>
              </w:rPr>
            </w:pPr>
            <w:r>
              <w:rPr>
                <w:rFonts w:ascii="Times New Roman" w:hAnsi="Times New Roman"/>
                <w:sz w:val="24"/>
              </w:rPr>
              <w:t xml:space="preserve">Τα πιστωτικά ιδρύματα αναφέρουν το μέρος των ποσών των καταθέσεων λιανικής που καλύπτονται από σύστημα εγγύησης των καταθέσεων σύμφωνα με την οδηγία 94/19/ΕΚ ή την οδηγία 2014/49/ΕΕ ή από ισοδύναμο σύστημα εγγύησης των καταθέσεων σε τρίτη χώρα και είτε αποτελεί τμήμα καθιερωμένης σχέσης που καθιστά πολύ απίθανη την ενδεχόμενη ανάληψη ή τηρείται σε συναλλακτικό λογαριασμό σύμφωνα με το άρθρο 24 παράγραφοι 2 και 3 του κατ’ εξουσιοδότηση κανονισμού (ΕΕ) 2015/61 αντιστοίχως </w:t>
            </w:r>
            <w:r>
              <w:rPr>
                <w:rFonts w:ascii="Times New Roman" w:hAnsi="Times New Roman"/>
                <w:sz w:val="24"/>
              </w:rPr>
              <w:lastRenderedPageBreak/>
              <w:t>και εφόσον:</w:t>
            </w:r>
          </w:p>
          <w:p w14:paraId="1CFF13EB" w14:textId="17FB880B" w:rsidR="006E48EA" w:rsidRPr="000B6B22" w:rsidRDefault="006E48EA" w:rsidP="009D4EFF">
            <w:pPr>
              <w:widowControl w:val="0"/>
              <w:spacing w:before="0"/>
              <w:ind w:left="555" w:right="96" w:hanging="420"/>
              <w:rPr>
                <w:rFonts w:ascii="Times New Roman" w:eastAsia="Verdana" w:hAnsi="Times New Roman"/>
                <w:sz w:val="24"/>
              </w:rPr>
            </w:pPr>
            <w:r>
              <w:rPr>
                <w:rFonts w:ascii="Times New Roman" w:hAnsi="Times New Roman"/>
                <w:sz w:val="24"/>
              </w:rPr>
              <w:t>—</w:t>
            </w:r>
            <w:r>
              <w:tab/>
            </w:r>
            <w:r>
              <w:rPr>
                <w:rFonts w:ascii="Times New Roman" w:hAnsi="Times New Roman"/>
                <w:sz w:val="24"/>
              </w:rPr>
              <w:t>Οι εν λόγω καταθέσεις δεν πληρούν τα κριτήρια για υψηλότερο ποσοστό εκροής, σύμφωνα με το άρθρο 25 παράγραφοι 2, 3 και 5 του κατ’ εξουσιοδότηση κανονισμού (ΕΕ) 2015/61 και, σε αυτή την περίπτωση, αναφέρονται ως καταθέσεις που υπόκεινται σε υψηλότερα ποσοστά εκροής· ή</w:t>
            </w:r>
          </w:p>
          <w:p w14:paraId="00ABE6D5" w14:textId="5DA09C6F" w:rsidR="006E48EA" w:rsidRPr="000B6B22" w:rsidRDefault="006E48EA" w:rsidP="009D4EFF">
            <w:pPr>
              <w:widowControl w:val="0"/>
              <w:spacing w:before="0"/>
              <w:ind w:left="555" w:right="99" w:hanging="420"/>
              <w:rPr>
                <w:rFonts w:ascii="Times New Roman" w:eastAsia="Verdana" w:hAnsi="Times New Roman"/>
                <w:sz w:val="24"/>
              </w:rPr>
            </w:pPr>
            <w:r>
              <w:rPr>
                <w:rFonts w:ascii="Times New Roman" w:hAnsi="Times New Roman"/>
                <w:sz w:val="24"/>
              </w:rPr>
              <w:t>—</w:t>
            </w:r>
            <w:r>
              <w:tab/>
            </w:r>
            <w:r>
              <w:rPr>
                <w:rFonts w:ascii="Times New Roman" w:hAnsi="Times New Roman"/>
                <w:sz w:val="24"/>
              </w:rPr>
              <w:t>Οι εν λόγω καταθέσεις δεν έχουν ληφθεί σε τρίτες χώρες όπου εφαρμόζεται υψηλότερο ποσοστό εκροής σύμφωνα με το άρθρο 25 παράγραφος 5 του κατ’ εξουσιοδότηση κανονισμού (ΕΕ) 2015/61 και, σε αυτή την περίπτωση, δηλώνονται σε αυτή την κατηγορία·</w:t>
            </w:r>
          </w:p>
          <w:p w14:paraId="5DC31F4B" w14:textId="52BEFF2A" w:rsidR="006E48EA" w:rsidRPr="000B6B22" w:rsidRDefault="006E48EA" w:rsidP="009D4EFF">
            <w:pPr>
              <w:widowControl w:val="0"/>
              <w:spacing w:before="0"/>
              <w:ind w:left="555" w:right="98" w:hanging="420"/>
              <w:rPr>
                <w:rFonts w:ascii="Times New Roman" w:eastAsia="Verdana" w:hAnsi="Times New Roman"/>
                <w:sz w:val="24"/>
              </w:rPr>
            </w:pPr>
            <w:r>
              <w:rPr>
                <w:rFonts w:ascii="Times New Roman" w:hAnsi="Times New Roman"/>
                <w:sz w:val="24"/>
              </w:rPr>
              <w:t>—</w:t>
            </w:r>
            <w:r>
              <w:tab/>
            </w:r>
            <w:r>
              <w:rPr>
                <w:rFonts w:ascii="Times New Roman" w:hAnsi="Times New Roman"/>
                <w:sz w:val="24"/>
              </w:rPr>
              <w:t>Η παρέκκλιση που αναφέρεται στο άρθρο 24 παράγραφος 4 του κατ’ εξουσιοδότηση κανονισμού (ΕΕ) 2015/61 δεν εφαρμόζεται.</w:t>
            </w:r>
          </w:p>
        </w:tc>
      </w:tr>
      <w:tr w:rsidR="00B47B7D" w:rsidRPr="000B6B22" w14:paraId="3CC7B640" w14:textId="77777777" w:rsidTr="00454544">
        <w:tc>
          <w:tcPr>
            <w:tcW w:w="1457" w:type="dxa"/>
            <w:shd w:val="clear" w:color="auto" w:fill="auto"/>
            <w:vAlign w:val="center"/>
          </w:tcPr>
          <w:p w14:paraId="52CCA114" w14:textId="7DAAFCD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0090</w:t>
            </w:r>
          </w:p>
        </w:tc>
        <w:tc>
          <w:tcPr>
            <w:tcW w:w="6946" w:type="dxa"/>
            <w:shd w:val="clear" w:color="auto" w:fill="auto"/>
          </w:tcPr>
          <w:p w14:paraId="7CF50DF8" w14:textId="381DAD6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1.1.1.5. Κατά παρέκκλιση σταθερές καταθέσεις</w:t>
            </w:r>
          </w:p>
          <w:p w14:paraId="2A903549" w14:textId="4145599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Άρθρο 24 παράγραφοι 4 και 6 του κατ’ εξουσιοδότηση κανονισμού (ΕΕ) 2015/61</w:t>
            </w:r>
          </w:p>
          <w:p w14:paraId="630AF429" w14:textId="3E198FFC"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Τα πιστωτικά ιδρύματα αναφέρουν το μέρος των ποσών των καταθέσεων λιανικής που καλύπτεται από σύστημα εγγύησης των καταθέσεων σύμφωνα με την οδηγία 2014/49/ΕΕ έως ανώτατο όριο ύψους 100 000 EUR και είτε αποτελεί μέρος μιας καθιερωμένης σχέσης, γεγονός που καθιστά ιδιαίτερα απίθανη ενδεχόμενη ανάληψη, ή τηρείται σε συναλλακτικό λογαριασμό σύμφωνα με το άρθρο 24 παράγραφοι 2 και 3 του κατ’ εξουσιοδότηση κανονισμού (ΕΕ) 2015/61 αντιστοίχως και εφόσον:</w:t>
            </w:r>
          </w:p>
          <w:p w14:paraId="29C8893A" w14:textId="345348C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Οι εν λόγω καταθέσεις δεν πληρούν τα κριτήρια για υψηλότερο ποσοστό εκροής, σύμφωνα με το άρθρο 25 παράγραφοι 2, 3 και 5 του κατ’ εξουσιοδότηση κανονισμού (ΕΕ) 2015/61 και, σε αυτή την περίπτωση, αναφέρονται ως καταθέσεις που υπόκεινται σε υψηλότερα ποσοστά εκροής· ή</w:t>
            </w:r>
          </w:p>
          <w:p w14:paraId="0D454606" w14:textId="044FE014" w:rsidR="006E48EA" w:rsidRPr="000B6B22" w:rsidRDefault="006E48EA" w:rsidP="009D4EFF">
            <w:pPr>
              <w:widowControl w:val="0"/>
              <w:spacing w:before="0"/>
              <w:ind w:left="555" w:right="99" w:hanging="420"/>
              <w:rPr>
                <w:rFonts w:ascii="Times New Roman" w:eastAsia="Verdana" w:hAnsi="Times New Roman"/>
                <w:sz w:val="24"/>
              </w:rPr>
            </w:pPr>
            <w:r>
              <w:rPr>
                <w:rFonts w:ascii="Times New Roman" w:hAnsi="Times New Roman"/>
                <w:sz w:val="24"/>
              </w:rPr>
              <w:t>—</w:t>
            </w:r>
            <w:r>
              <w:tab/>
            </w:r>
            <w:r>
              <w:rPr>
                <w:rFonts w:ascii="Times New Roman" w:hAnsi="Times New Roman"/>
                <w:sz w:val="24"/>
              </w:rPr>
              <w:t>Οι εν λόγω καταθέσεις δεν έχουν ληφθεί σε τρίτες χώρες όπου εφαρμόζεται υψηλότερο ποσοστό εκροής σύμφωνα με το άρθρο 25 παράγραφος 5 του κατ’ εξουσιοδότηση κανονισμού (ΕΕ) 2015/61 και, σε αυτή την περίπτωση, δηλώνονται σε αυτή την κατηγορία·</w:t>
            </w:r>
          </w:p>
          <w:p w14:paraId="359C0063" w14:textId="07540F60" w:rsidR="006E48EA" w:rsidRPr="000B6B22" w:rsidRDefault="006E48EA" w:rsidP="009D4EFF">
            <w:pPr>
              <w:widowControl w:val="0"/>
              <w:spacing w:before="0"/>
              <w:ind w:left="555" w:right="96" w:hanging="420"/>
              <w:rPr>
                <w:rFonts w:ascii="Times New Roman" w:eastAsia="Verdana" w:hAnsi="Times New Roman"/>
                <w:sz w:val="24"/>
              </w:rPr>
            </w:pPr>
            <w:r>
              <w:rPr>
                <w:rFonts w:ascii="Times New Roman" w:hAnsi="Times New Roman"/>
                <w:sz w:val="24"/>
              </w:rPr>
              <w:t>—</w:t>
            </w:r>
            <w:r>
              <w:tab/>
            </w:r>
            <w:r>
              <w:rPr>
                <w:rFonts w:ascii="Times New Roman" w:hAnsi="Times New Roman"/>
                <w:sz w:val="24"/>
              </w:rPr>
              <w:t>Εφαρμόζεται η παρέκκλιση που προβλέπεται στο άρθρο 24 παράγραφος 4 του κατ’ εξουσιοδότηση κανονισμού (ΕΕ) 2015/61.</w:t>
            </w:r>
          </w:p>
        </w:tc>
      </w:tr>
      <w:tr w:rsidR="00B47B7D" w:rsidRPr="000B6B22" w14:paraId="673BCFE3" w14:textId="77777777" w:rsidTr="00454544">
        <w:tc>
          <w:tcPr>
            <w:tcW w:w="1457" w:type="dxa"/>
            <w:shd w:val="clear" w:color="auto" w:fill="auto"/>
            <w:vAlign w:val="center"/>
          </w:tcPr>
          <w:p w14:paraId="54A77863" w14:textId="5673A42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0100</w:t>
            </w:r>
          </w:p>
        </w:tc>
        <w:tc>
          <w:tcPr>
            <w:tcW w:w="6946" w:type="dxa"/>
            <w:shd w:val="clear" w:color="auto" w:fill="auto"/>
          </w:tcPr>
          <w:p w14:paraId="31D98C10" w14:textId="65927B1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1.1.1.6. καταθέσεις σε τρίτες χώρες όπου εφαρμόζονται υψηλότερες εκροές</w:t>
            </w:r>
          </w:p>
          <w:p w14:paraId="312920A6" w14:textId="7D569C66"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rPr>
              <w:t>Άρθρο 25 παράγραφος 5 του κατ’ εξουσιοδότηση κανονισμού (ΕΕ) 2015/61</w:t>
            </w:r>
          </w:p>
          <w:p w14:paraId="11D659B3" w14:textId="4320B4F3"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 xml:space="preserve">Τα πιστωτικά ιδρύματα αναφέρουν το ποσό των καταθέσεων λιανικής που λαμβάνονται σε τρίτη χώρα όπου εφαρμόζονται υψηλότερα ποσοστά εκροής σύμφωνα με την εθνική νομοθεσία η </w:t>
            </w:r>
            <w:r>
              <w:rPr>
                <w:rFonts w:ascii="Times New Roman" w:hAnsi="Times New Roman"/>
                <w:sz w:val="24"/>
              </w:rPr>
              <w:lastRenderedPageBreak/>
              <w:t>οποία προβλέπει απαιτήσεις ρευστότητας στην εν λόγω τρίτη χώρα.</w:t>
            </w:r>
          </w:p>
        </w:tc>
      </w:tr>
      <w:tr w:rsidR="00B47B7D" w:rsidRPr="000B6B22" w14:paraId="1B4B0BB5" w14:textId="77777777" w:rsidTr="00454544">
        <w:tc>
          <w:tcPr>
            <w:tcW w:w="1457" w:type="dxa"/>
            <w:shd w:val="clear" w:color="auto" w:fill="auto"/>
            <w:vAlign w:val="center"/>
          </w:tcPr>
          <w:p w14:paraId="7CA32994" w14:textId="59CFBC6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0110</w:t>
            </w:r>
          </w:p>
        </w:tc>
        <w:tc>
          <w:tcPr>
            <w:tcW w:w="6946" w:type="dxa"/>
            <w:shd w:val="clear" w:color="auto" w:fill="auto"/>
          </w:tcPr>
          <w:p w14:paraId="15F3BDD8" w14:textId="3F8A364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1.1.1.7. άλλες καταθέσεις λιανικής</w:t>
            </w:r>
          </w:p>
          <w:p w14:paraId="5E4938B6" w14:textId="58CAB0F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Άρθρο 25 παράγραφος 1 του κατ’ εξουσιοδότηση κανονισμού (ΕΕ) 2015/61</w:t>
            </w:r>
          </w:p>
          <w:p w14:paraId="4ED9F9A5" w14:textId="72F3894F"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Τα πιστωτικά ιδρύματα αναφέρουν το ποσό των άλλων καταθέσεων λιανικής εκτός από εκείνες που αναφέρονται στα προηγούμενα σημεία.</w:t>
            </w:r>
          </w:p>
        </w:tc>
      </w:tr>
      <w:tr w:rsidR="00B47B7D" w:rsidRPr="000B6B22" w14:paraId="4C72C7C7" w14:textId="77777777" w:rsidTr="00454544">
        <w:tc>
          <w:tcPr>
            <w:tcW w:w="1457" w:type="dxa"/>
            <w:shd w:val="clear" w:color="auto" w:fill="auto"/>
            <w:vAlign w:val="center"/>
          </w:tcPr>
          <w:p w14:paraId="290CCD49" w14:textId="2FC937F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0120</w:t>
            </w:r>
          </w:p>
        </w:tc>
        <w:tc>
          <w:tcPr>
            <w:tcW w:w="6946" w:type="dxa"/>
            <w:shd w:val="clear" w:color="auto" w:fill="auto"/>
          </w:tcPr>
          <w:p w14:paraId="1AF8DF6B"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1.1.2 Λειτουργικές καταθέσεις</w:t>
            </w:r>
          </w:p>
          <w:p w14:paraId="03CD0763" w14:textId="03E7818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Άρθρο 27 του κατ’ εξουσιοδότηση κανονισμού (ΕΕ) 2015/61</w:t>
            </w:r>
          </w:p>
          <w:p w14:paraId="6BA113B0" w14:textId="7657DD0B" w:rsidR="006E48EA" w:rsidRPr="000B6B22" w:rsidRDefault="006E48EA" w:rsidP="009D4EFF">
            <w:pPr>
              <w:pStyle w:val="TableParagraph"/>
              <w:spacing w:after="120"/>
              <w:ind w:right="99"/>
              <w:jc w:val="both"/>
              <w:rPr>
                <w:rFonts w:ascii="Times New Roman" w:hAnsi="Times New Roman"/>
                <w:sz w:val="24"/>
                <w:szCs w:val="24"/>
              </w:rPr>
            </w:pPr>
            <w:r>
              <w:rPr>
                <w:rFonts w:ascii="Times New Roman" w:hAnsi="Times New Roman"/>
                <w:sz w:val="24"/>
              </w:rPr>
              <w:t>Τα πιστωτικά ιδρύματα αναφέρουν εδώ το μέρος των λειτουργικών καταθέσεων που καθορίζονται σύμφωνα με το άρθρο 27 του κατ’ εξουσιοδότηση κανονισμού (ΕΕ) 2015/61, οι οποίες είναι απαραίτητες για την παροχή λειτουργικών υπηρεσιών. Καταθέσεις που πραγματοποιούνται στο πλαίσιο σχέσης τραπεζικής ανταπόκρισης ή της παροχής υπηρεσιών βασικής μεσολάβησης θεωρούνται μη λειτουργικές καταθέσεις, όπως καθορίζεται στο άρθρο 27 παράγραφος 5 του κατ’ εξουσιοδότηση κανονισμού (ΕΕ) 2015/61.</w:t>
            </w:r>
          </w:p>
          <w:p w14:paraId="69F3E3B0" w14:textId="7EBAFDCC" w:rsidR="006E48EA" w:rsidRPr="000B6B22" w:rsidRDefault="00D938EF"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Το μέρος των λειτουργικών καταθέσεων που υπερβαίνει το αναγκαίο ποσό για την παροχή λειτουργικών υπηρεσιών δεν αναφέρεται εδώ αλλά αναφέρεται στο id 1.1.3.</w:t>
            </w:r>
          </w:p>
        </w:tc>
      </w:tr>
      <w:tr w:rsidR="00B47B7D" w:rsidRPr="000B6B22" w14:paraId="25B9B289" w14:textId="77777777" w:rsidTr="00454544">
        <w:tc>
          <w:tcPr>
            <w:tcW w:w="1457" w:type="dxa"/>
            <w:shd w:val="clear" w:color="auto" w:fill="auto"/>
            <w:vAlign w:val="center"/>
          </w:tcPr>
          <w:p w14:paraId="6A670C42" w14:textId="403C507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0130</w:t>
            </w:r>
          </w:p>
        </w:tc>
        <w:tc>
          <w:tcPr>
            <w:tcW w:w="6946" w:type="dxa"/>
            <w:shd w:val="clear" w:color="auto" w:fill="auto"/>
          </w:tcPr>
          <w:p w14:paraId="6B0F55BC" w14:textId="77777777"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b/>
                <w:sz w:val="24"/>
              </w:rPr>
              <w:t>1.1.2.1. που διατηρούνται για υπηρεσίες εκκαθάρισης, φύλαξης, διαχείρισης μετρητών ή άλλες συγκρίσιμες υπηρεσίες στο πλαίσιο μιας καθιερωμένης λειτουργικής σχέσης</w:t>
            </w:r>
          </w:p>
          <w:p w14:paraId="5E3FFDA9" w14:textId="15DC2861" w:rsidR="006E48EA" w:rsidRPr="000B6B22" w:rsidRDefault="00DD4C72"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Άρθρο 27 παράγραφος 1 στοιχείο α) και άρθρο 27 παράγραφοι 2 και 4 του κατ’ εξουσιοδότηση κανονισμού (ΕΕ) 2015/61</w:t>
            </w:r>
          </w:p>
          <w:p w14:paraId="57F32AD6" w14:textId="0603780A"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Τα πιστωτικά ιδρύματα αναφέρουν τις καταθέσεις που διατηρούνται από τον καταθέτη με σκοπό να του παρασχεθούν υπηρεσίες εκκαθάρισης, φύλαξης ή διαχείρισης μετρητών ή άλλες συγκρίσιμες υπηρεσίες στο πλαίσιο καθιερωμένης σχέσης, όπως αναφέρεται στο άρθρο 27 παράγραφος 1 στοιχείο α) του κατ’ εξουσιοδότηση κανονισμού (ΕΕ) 2015/61, οι οποίες είναι εξαιρετικά σημαντικές για τον καταθέτη, όπως αναφέρεται στο άρθρο 27 παράγραφος 4 του κατ’ εξουσιοδότηση κανονισμού (ΕΕ) 2015/61· κεφάλαια πέραν εκείνων που απαιτούνται για την παροχή λειτουργικών υπηρεσιών αντιμετωπίζονται ως μη λειτουργικές καταθέσεις, όπως αναφέρεται στην τελευταία περίοδο του άρθρου 27 παράγραφος 4 του κατ’ εξουσιοδότηση κανονισμού (ΕΕ) 2015/61.</w:t>
            </w:r>
          </w:p>
          <w:p w14:paraId="26BF49E8" w14:textId="3EDE7A84" w:rsidR="006E48EA" w:rsidRPr="000B6B22" w:rsidRDefault="006E48EA" w:rsidP="009D4EFF">
            <w:pPr>
              <w:pStyle w:val="TableParagraph"/>
              <w:spacing w:after="120"/>
              <w:ind w:right="99"/>
              <w:jc w:val="both"/>
              <w:rPr>
                <w:rFonts w:ascii="Times New Roman" w:hAnsi="Times New Roman"/>
                <w:sz w:val="24"/>
                <w:szCs w:val="24"/>
              </w:rPr>
            </w:pPr>
            <w:r>
              <w:rPr>
                <w:rFonts w:ascii="Times New Roman" w:hAnsi="Times New Roman"/>
                <w:sz w:val="24"/>
              </w:rPr>
              <w:t>Αναφέρονται μόνον οι καταθέσεις που έχουν σημαντικούς νομικούς ή λειτουργικούς περιορισμούς που καθιστούν απίθανο το γεγονός να πραγματοποιηθούν σημαντικές αναλήψεις εντός 30 ημερολογιακών ημερών, όπως αναφέρεται στο άρθρο 27 παράγραφος 4 δεύτερη περίοδος του κατ’ εξουσιοδότηση κανονισμού (ΕΕ) 2015/61.</w:t>
            </w:r>
          </w:p>
          <w:p w14:paraId="13830DEB" w14:textId="0FDD7672"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 xml:space="preserve">Τα πιστωτικά ιδρύματα αναφέρουν χωριστά το ποσό αυτών των καταθέσεων που καλύπτεται και αυτό που δεν καλύπτεται από </w:t>
            </w:r>
            <w:r>
              <w:rPr>
                <w:rFonts w:ascii="Times New Roman" w:hAnsi="Times New Roman"/>
                <w:sz w:val="24"/>
              </w:rPr>
              <w:lastRenderedPageBreak/>
              <w:t>σύστημα εγγύησης των καταθέσεων ή ισοδύναμο σύστημα εγγύησης καταθέσεων τρίτης χώρας που αναφέρεται στο άρθρο 27 παράγραφος 2 του κατ’ εξουσιοδότηση κανονισμού (ΕΕ) 2015/61, όπως ορίζεται στα επόμενα σημεία των οδηγιών.</w:t>
            </w:r>
          </w:p>
        </w:tc>
      </w:tr>
      <w:tr w:rsidR="00B47B7D" w:rsidRPr="000B6B22" w14:paraId="0B27C322" w14:textId="77777777" w:rsidTr="00454544">
        <w:tc>
          <w:tcPr>
            <w:tcW w:w="1457" w:type="dxa"/>
            <w:shd w:val="clear" w:color="auto" w:fill="auto"/>
            <w:vAlign w:val="center"/>
          </w:tcPr>
          <w:p w14:paraId="6002F428" w14:textId="3C0ECF5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0140</w:t>
            </w:r>
          </w:p>
        </w:tc>
        <w:tc>
          <w:tcPr>
            <w:tcW w:w="6946" w:type="dxa"/>
            <w:shd w:val="clear" w:color="auto" w:fill="auto"/>
          </w:tcPr>
          <w:p w14:paraId="59175E94"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1.1.2.1.1. καλυπτόμενες από ΣΕΚ (σύστημα εγγύησης των καταθέσεων)</w:t>
            </w:r>
          </w:p>
          <w:p w14:paraId="03553A91" w14:textId="4C9E0761" w:rsidR="006E48EA" w:rsidRPr="000B6B22" w:rsidRDefault="000B7AD9"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Άρθρο 27 παράγραφος 1 στοιχείο α) και άρθρο 27 παράγραφοι 2 και 4 του κατ’ εξουσιοδότηση κανονισμού (ΕΕ) 2015/61</w:t>
            </w:r>
          </w:p>
          <w:p w14:paraId="6140B9E0" w14:textId="406E6484"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Τα πιστωτικά ιδρύματα αναφέρουν το μέρος του τρέχοντος υπολοίπου των λειτουργικών καταθέσεων που διατηρούνται στο πλαίσιο καθιερωμένης λειτουργικής σχέσης το οποίο πληροί τα κριτήρια που ορίζονται στο άρθρο 27 παράγραφος 1 στοιχείο α) και στο άρθρο 27 παράγραφος 4 του κατ’ εξουσιοδότηση κανονισμού (ΕΕ) 2015/61 και καλύπτεται από σύστημα εγγύησης καταθέσεων σύμφωνα με την οδηγία 94/19/ΕΚ ή την οδηγία 2014/49/ΕΕ ή από ισοδύναμο σύστημα εγγύησης των καταθέσεων σε τρίτη χώρα.</w:t>
            </w:r>
          </w:p>
        </w:tc>
      </w:tr>
      <w:tr w:rsidR="00B47B7D" w:rsidRPr="000B6B22" w14:paraId="16611CAD" w14:textId="77777777" w:rsidTr="00454544">
        <w:tc>
          <w:tcPr>
            <w:tcW w:w="1457" w:type="dxa"/>
            <w:shd w:val="clear" w:color="auto" w:fill="auto"/>
            <w:vAlign w:val="center"/>
          </w:tcPr>
          <w:p w14:paraId="0F75B364" w14:textId="029FFD8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0150</w:t>
            </w:r>
          </w:p>
        </w:tc>
        <w:tc>
          <w:tcPr>
            <w:tcW w:w="6946" w:type="dxa"/>
            <w:shd w:val="clear" w:color="auto" w:fill="auto"/>
          </w:tcPr>
          <w:p w14:paraId="255D532A"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1.1.2.1.2. μη καλυπτόμενες από ΣΕΚ</w:t>
            </w:r>
          </w:p>
          <w:p w14:paraId="713B7652" w14:textId="3A56E08C" w:rsidR="006E48EA" w:rsidRPr="000B6B22" w:rsidRDefault="000B7AD9"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Άρθρο 27 παράγραφος 1 στοιχείο α) και άρθρο 27 παράγραφοι 2 και 4 του κατ’ εξουσιοδότηση κανονισμού (ΕΕ) 2015/61</w:t>
            </w:r>
          </w:p>
          <w:p w14:paraId="0BAA112A" w14:textId="2342B711"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Τα πιστωτικά ιδρύματα αναφέρουν το μέρος του τρέχοντος υπολοίπου των λειτουργικών καταθέσεων που διατηρούνται στο πλαίσιο καθιερωμένης λειτουργικής σχέσης το οποίο πληροί τα κριτήρια που ορίζονται στο άρθρο 27 παράγραφος 1 στοιχείο α) και στο άρθρο 27 παράγραφος 4 του κατ’ εξουσιοδότηση κανονισμού (ΕΕ) 2015/61 και δεν καλύπτεται από σύστημα εγγύησης καταθέσεων σύμφωνα με την οδηγία 94/19/ΕΚ ή την οδηγία 2014/49/ΕΕ ή από ισοδύναμο σύστημα εγγύησης των καταθέσεων σε τρίτη χώρα.</w:t>
            </w:r>
          </w:p>
        </w:tc>
      </w:tr>
      <w:tr w:rsidR="00B47B7D" w:rsidRPr="000B6B22" w14:paraId="6C1D5286" w14:textId="77777777" w:rsidTr="00454544">
        <w:tc>
          <w:tcPr>
            <w:tcW w:w="1457" w:type="dxa"/>
            <w:shd w:val="clear" w:color="auto" w:fill="auto"/>
            <w:vAlign w:val="center"/>
          </w:tcPr>
          <w:p w14:paraId="2695D6F7" w14:textId="66BA34D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0160</w:t>
            </w:r>
          </w:p>
        </w:tc>
        <w:tc>
          <w:tcPr>
            <w:tcW w:w="6946" w:type="dxa"/>
            <w:shd w:val="clear" w:color="auto" w:fill="auto"/>
          </w:tcPr>
          <w:p w14:paraId="7546FD83"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rPr>
              <w:t>1.1.2.2. που διατηρούνται στο πλαίσιο ΘΣΠ (θεσμικού συστήματος προστασίας) ή συνεταιριστικού δικτύου</w:t>
            </w:r>
          </w:p>
          <w:p w14:paraId="0EECFA03" w14:textId="2E69549D" w:rsidR="006E48EA" w:rsidRPr="000B6B22" w:rsidRDefault="005E70B4"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Άρθρο 27 παράγραφος 1 στοιχείο β) και άρθρο 27 παράγραφος 3 του κατ’ εξουσιοδότηση κανονισμού (ΕΕ) 2015/61</w:t>
            </w:r>
          </w:p>
          <w:p w14:paraId="13A5D611" w14:textId="29783808"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Τα πιστωτικά ιδρύματα αναφέρουν εδώ τις καταθέσεις που διατηρούνται στο πλαίσιο καταμερισμού κοινών καθηκόντων εντός θεσμικού συστήματος προστασίας που πληροί τις απαιτήσεις του άρθρου 113 παράγραφος 7 του κανονισμού (ΕΕ) αριθ. 575/2013 ή εντός μιας ομάδας συνεταιριστικών πιστωτικών ιδρυμάτων μόνιμα συνδεδεμένων με ένα κεντρικό όργανο που πληροί τις απαιτήσεις του άρθρου 113 παράγραφος 6 του ίδιου κανονισμού, ή ως νομικά ή συμβατικά κατοχυρωμένη ελάχιστη κατάθεση από άλλο πιστωτικό ίδρυμα που είναι μέλος του ίδιου θεσμικού συστήματος προστασίας ή συνεταιριστικού δικτύου, όπως ορίζει το άρθρο 27 παράγραφος 1 στοιχείο β) του κατ’ εξουσιοδότηση κανονισμού (ΕΕ) 2015/61.</w:t>
            </w:r>
          </w:p>
          <w:p w14:paraId="3D4A72A7" w14:textId="31FB8130"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 xml:space="preserve">Τα πιστωτικά ιδρύματα αναφέρουν τις εν λόγω καταθέσεις σε διαφορετικές γραμμές, ανάλογα με το αν αυτές αντιμετωπίζονται ως ρευστά στοιχεία ενεργητικού από το πιστωτικό ίδρυμα που πραγματοποιεί την κατάθεση ή όχι, σύμφωνα με το άρθρο 27 </w:t>
            </w:r>
            <w:r>
              <w:rPr>
                <w:rFonts w:ascii="Times New Roman" w:hAnsi="Times New Roman"/>
                <w:sz w:val="24"/>
              </w:rPr>
              <w:lastRenderedPageBreak/>
              <w:t>παράγραφος 3 του κατ’ εξουσιοδότηση κανονισμού (ΕΕ) 2015/61.</w:t>
            </w:r>
          </w:p>
        </w:tc>
      </w:tr>
      <w:tr w:rsidR="00B47B7D" w:rsidRPr="000B6B22" w14:paraId="726F1CB4" w14:textId="77777777" w:rsidTr="00454544">
        <w:tc>
          <w:tcPr>
            <w:tcW w:w="1457" w:type="dxa"/>
            <w:shd w:val="clear" w:color="auto" w:fill="auto"/>
            <w:vAlign w:val="center"/>
          </w:tcPr>
          <w:p w14:paraId="3BF3C110" w14:textId="29BA6A2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0170</w:t>
            </w:r>
          </w:p>
        </w:tc>
        <w:tc>
          <w:tcPr>
            <w:tcW w:w="6946" w:type="dxa"/>
            <w:shd w:val="clear" w:color="auto" w:fill="auto"/>
          </w:tcPr>
          <w:p w14:paraId="3703A5B5"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1.1.2.2.1. που δεν αντιμετωπίζονται ως ρευστά στοιχεία ενεργητικού για το ίδρυμα που πραγματοποιεί την κατάθεση</w:t>
            </w:r>
          </w:p>
          <w:p w14:paraId="6397AE8C" w14:textId="1518D017" w:rsidR="006E48EA" w:rsidRPr="000B6B22" w:rsidRDefault="005E70B4" w:rsidP="009D4EFF">
            <w:pPr>
              <w:pStyle w:val="TableParagraph"/>
              <w:spacing w:after="120"/>
              <w:jc w:val="both"/>
              <w:rPr>
                <w:rFonts w:ascii="Times New Roman" w:hAnsi="Times New Roman"/>
                <w:sz w:val="24"/>
                <w:szCs w:val="24"/>
              </w:rPr>
            </w:pPr>
            <w:r>
              <w:rPr>
                <w:rFonts w:ascii="Times New Roman" w:hAnsi="Times New Roman"/>
                <w:sz w:val="24"/>
              </w:rPr>
              <w:t>Άρθρο 27 παράγραφος 1 στοιχείο β) του κατ’ εξουσιοδότηση κανονισμού (ΕΕ) 2015/61</w:t>
            </w:r>
          </w:p>
          <w:p w14:paraId="7D48F1BF" w14:textId="4B61DA1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Τα πιστωτικά ιδρύματα αναφέρουν το ποσό του τρέχοντος υπολοίπου των καταθέσεων που διατηρούνται στο πλαίσιο συνεταιριστικού δικτύου ή θεσμικού συστήματος προστασίας, με βάση τα κριτήρια που ορίζονται στο άρθρο 27 παράγραφος 1 στοιχείο β) του κατ’ εξουσιοδότηση κανονισμού (ΕΕ) 2015/61, εφόσον οι καταθέσεις αυτές δεν αναγνωρίζονται ως ρευστά στοιχεία ενεργητικού για το πιστωτικό ίδρυμα που πραγματοποιεί την κατάθεση.</w:t>
            </w:r>
          </w:p>
        </w:tc>
      </w:tr>
      <w:tr w:rsidR="00B47B7D" w:rsidRPr="000B6B22" w14:paraId="4C5129A6" w14:textId="77777777" w:rsidTr="00454544">
        <w:tc>
          <w:tcPr>
            <w:tcW w:w="1457" w:type="dxa"/>
            <w:shd w:val="clear" w:color="auto" w:fill="auto"/>
            <w:vAlign w:val="center"/>
          </w:tcPr>
          <w:p w14:paraId="2BAD0A05" w14:textId="095F826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0180</w:t>
            </w:r>
          </w:p>
        </w:tc>
        <w:tc>
          <w:tcPr>
            <w:tcW w:w="6946" w:type="dxa"/>
            <w:shd w:val="clear" w:color="auto" w:fill="auto"/>
          </w:tcPr>
          <w:p w14:paraId="74BAF152"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1.1.2.2.2. που αντιμετωπίζονται ως ρευστά στοιχεία ενεργητικού για το πιστωτικό ίδρυμα που πραγματοποιεί την κατάθεση</w:t>
            </w:r>
          </w:p>
          <w:p w14:paraId="2DE6E048" w14:textId="08C2DF4F" w:rsidR="006E48EA" w:rsidRPr="000B6B22" w:rsidRDefault="005E70B4"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Άρθρο 27 παράγραφος 1 στοιχείο β) και άρθρο 27 παράγραφος 3 του κατ’ εξουσιοδότηση κανονισμού (ΕΕ) 2015/61</w:t>
            </w:r>
          </w:p>
          <w:p w14:paraId="0F17A80D" w14:textId="42B2E413"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rPr>
              <w:t>Τα πιστωτικά ιδρύματα αναφέρουν τις καταθέσεις πιστωτικών ιδρυμάτων που τοποθετούνται στο κεντρικό πιστωτικό ίδρυμα, οι οποίες θεωρούνται ρευστά στοιχεία ενεργητικού για το πιστωτικό ίδρυμα που πραγματοποιεί την κατάθεση σύμφωνα με το άρθρο 16 του κατ’ εξουσιοδότηση κανονισμού (ΕΕ) 2015/61.</w:t>
            </w:r>
          </w:p>
          <w:p w14:paraId="43A5D7B6" w14:textId="4B766E60"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Τα πιστωτικά ιδρύματα αναφέρουν το ποσό των εν λόγω καταθέσεων μέχρι του ποσού των αντίστοιχων ρευστών στοιχείων ενεργητικού μετά την περικοπή, όπως ορίζεται στο άρθρο 27 παράγραφος 3 του κατ’ εξουσιοδότηση κανονισμού (ΕΕ) 2015/61.</w:t>
            </w:r>
          </w:p>
        </w:tc>
      </w:tr>
      <w:tr w:rsidR="00B47B7D" w:rsidRPr="000B6B22" w14:paraId="05227811" w14:textId="77777777" w:rsidTr="00454544">
        <w:tc>
          <w:tcPr>
            <w:tcW w:w="1457" w:type="dxa"/>
            <w:shd w:val="clear" w:color="auto" w:fill="auto"/>
            <w:vAlign w:val="center"/>
          </w:tcPr>
          <w:p w14:paraId="60B7988C" w14:textId="13CCD6B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0190</w:t>
            </w:r>
          </w:p>
        </w:tc>
        <w:tc>
          <w:tcPr>
            <w:tcW w:w="6946" w:type="dxa"/>
            <w:shd w:val="clear" w:color="auto" w:fill="auto"/>
          </w:tcPr>
          <w:p w14:paraId="63E56B8B" w14:textId="77777777"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rPr>
              <w:t>1.1.2.3. που διατηρούνται στο πλαίσιο καθιερωμένης λειτουργικής σχέσης (άλλης) με μη χρηματοπιστωτικούς πελάτες</w:t>
            </w:r>
          </w:p>
          <w:p w14:paraId="1F1DF64E" w14:textId="07B63C92" w:rsidR="006E48EA" w:rsidRPr="000B6B22" w:rsidRDefault="005E70B4"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Άρθρο 27 παράγραφος 1 στοιχείο γ) και άρθρο 27 παράγραφοι 4 και 6 του κατ’ εξουσιοδότηση κανονισμού (ΕΕ) 2015/61</w:t>
            </w:r>
          </w:p>
          <w:p w14:paraId="2D72E579" w14:textId="780EECF8" w:rsidR="006E48EA" w:rsidRPr="000B6B22" w:rsidRDefault="006E48EA" w:rsidP="009D4EFF">
            <w:pPr>
              <w:pStyle w:val="TableParagraph"/>
              <w:spacing w:after="120"/>
              <w:ind w:right="96"/>
              <w:jc w:val="both"/>
              <w:rPr>
                <w:rFonts w:ascii="Times New Roman" w:hAnsi="Times New Roman"/>
                <w:sz w:val="24"/>
                <w:szCs w:val="24"/>
              </w:rPr>
            </w:pPr>
            <w:r>
              <w:rPr>
                <w:rFonts w:ascii="Times New Roman" w:hAnsi="Times New Roman"/>
                <w:sz w:val="24"/>
              </w:rPr>
              <w:t>Τα πιστωτικά ιδρύματα αναφέρουν το ποσό του υπολοίπου των καταθέσεων που διατηρούνται από πρόσωπο που δεν είναι χρηματοπιστωτικός πελάτης στο πλαίσιο καθιερωμένης λειτουργικής σχέσης εκτός από αυτήν που αναφέρεται στο άρθρο 27 παράγραφος 1 στοιχείο α) του κατ’ εξουσιοδότηση κανονισμού (ΕΕ) 2015/61, και με την επιφύλαξη των απαιτήσεων που ορίζονται στο άρθρο 27 παράγραφος 6 του κατ’ εξουσιοδότηση κανονισμού (ΕΕ) 2015/61.</w:t>
            </w:r>
          </w:p>
          <w:p w14:paraId="67215764" w14:textId="6565EE44"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Αναφέρονται μόνον οι καταθέσεις που έχουν σημαντικούς νομικούς ή λειτουργικούς περιορισμούς που καθιστούν απίθανες τις σημαντικές αναλήψεις εντός 30 ημερολογιακών ημερών, όπως αναφέρεται στο άρθρο 27 παράγραφος 4 του κατ’ εξουσιοδότηση κανονισμού (ΕΕ) 2015/61.</w:t>
            </w:r>
          </w:p>
        </w:tc>
      </w:tr>
      <w:tr w:rsidR="00B47B7D" w:rsidRPr="000B6B22" w14:paraId="2E2B830A" w14:textId="77777777" w:rsidTr="00454544">
        <w:tc>
          <w:tcPr>
            <w:tcW w:w="1457" w:type="dxa"/>
            <w:shd w:val="clear" w:color="auto" w:fill="auto"/>
            <w:vAlign w:val="center"/>
          </w:tcPr>
          <w:p w14:paraId="1664C466" w14:textId="45E8EB3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0200</w:t>
            </w:r>
          </w:p>
        </w:tc>
        <w:tc>
          <w:tcPr>
            <w:tcW w:w="6946" w:type="dxa"/>
            <w:shd w:val="clear" w:color="auto" w:fill="auto"/>
          </w:tcPr>
          <w:p w14:paraId="5220DC18"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u w:color="000000"/>
              </w:rPr>
              <w:t>1.1.2.4. που διατηρούνται για τη λήψη υπηρεσιών εκκαθάρισης σε μετρητά και</w:t>
            </w:r>
            <w:r>
              <w:rPr>
                <w:rFonts w:ascii="Times New Roman" w:hAnsi="Times New Roman"/>
                <w:b/>
                <w:sz w:val="24"/>
              </w:rPr>
              <w:t xml:space="preserve"> </w:t>
            </w:r>
            <w:r>
              <w:rPr>
                <w:rFonts w:ascii="Times New Roman" w:hAnsi="Times New Roman"/>
                <w:b/>
                <w:sz w:val="24"/>
                <w:u w:color="000000"/>
              </w:rPr>
              <w:t>υπηρεσιών εντός δικτύου</w:t>
            </w:r>
          </w:p>
          <w:p w14:paraId="44545935" w14:textId="4FE20D56" w:rsidR="006E48EA" w:rsidRPr="000B6B22" w:rsidRDefault="005E70B4"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 xml:space="preserve">Άρθρο 27 παράγραφος 1 στοιχείο δ) και άρθρο 27 παράγραφος 4 του </w:t>
            </w:r>
            <w:r>
              <w:rPr>
                <w:rFonts w:ascii="Times New Roman" w:hAnsi="Times New Roman"/>
                <w:sz w:val="24"/>
              </w:rPr>
              <w:lastRenderedPageBreak/>
              <w:t>κατ’ εξουσιοδότηση κανονισμού (ΕΕ) 2015/61</w:t>
            </w:r>
          </w:p>
          <w:p w14:paraId="58D1DFDC" w14:textId="6A3D94FE"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Τα πιστωτικά ιδρύματα αναφέρουν το ποσό του υπολοίπου των καταθέσεων που διατηρούνται από τον καταθέτη για να του παρασχεθούν υπηρεσίες εκκαθάρισης σε μετρητά και υπηρεσίες από το κεντρικό πιστωτικό ίδρυμα και εφόσον το πιστωτικό ίδρυμα ανήκει σε ένα από τα δίκτυα ή συστήματα που αναφέρονται στο άρθρο 16 του κατ’ εξουσιοδότηση κανονισμού (ΕΕ) 2015/61, όπως ορίζει το άρθρο 27 παράγραφος 1 στοιχείο δ) του κατ’ εξουσιοδότηση κανονισμού (ΕΕ) 2015/61. Οι εν λόγω υπηρεσίες εκκαθάρισης σε μετρητά και υπηρεσίες από το κεντρικό πιστωτικό ίδρυμα καλύπτουν τις σχετικές υπηρεσίες μόνο στον βαθμό που αυτές παρέχονται στο πλαίσιο καθιερωμένης σχέσης η οποία είναι εξαιρετικά σημαντική για τον καταθέτη, όπως αναφέρεται στην πρώτη περίοδο του άρθρου 27 παράγραφος 4 του κατ’ εξουσιοδότηση κανονισμού (ΕΕ) 2015/61· κεφάλαια πέραν εκείνων που απαιτούνται για την παροχή λειτουργικών υπηρεσιών αντιμετωπίζονται ως μη λειτουργικές καταθέσεις, όπως αναφέρεται στην τελευταία περίοδο του άρθρου 27 παράγραφος 4 του κατ’ εξουσιοδότηση κανονισμού (ΕΕ) 2015/61.</w:t>
            </w:r>
          </w:p>
          <w:p w14:paraId="56379A69" w14:textId="60A9385C"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rPr>
              <w:t>Αναφέρονται μόνον οι καταθέσεις που έχουν σημαντικούς νομικούς ή λειτουργικούς περιορισμούς που καθιστούν απίθανες τις σημαντικές αναλήψεις εντός 30 ημερολογιακών ημερών, όπως αναφέρεται στο άρθρο 27 παράγραφος 4 του κατ’ εξουσιοδότηση κανονισμού (ΕΕ) 2015/61.</w:t>
            </w:r>
          </w:p>
        </w:tc>
      </w:tr>
      <w:tr w:rsidR="00B47B7D" w:rsidRPr="000B6B22" w14:paraId="34D0AB41" w14:textId="77777777" w:rsidTr="00454544">
        <w:tc>
          <w:tcPr>
            <w:tcW w:w="1457" w:type="dxa"/>
            <w:shd w:val="clear" w:color="auto" w:fill="auto"/>
            <w:vAlign w:val="center"/>
          </w:tcPr>
          <w:p w14:paraId="564EE8C1" w14:textId="296993AD"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lastRenderedPageBreak/>
              <w:t>0203</w:t>
            </w:r>
          </w:p>
        </w:tc>
        <w:tc>
          <w:tcPr>
            <w:tcW w:w="6946" w:type="dxa"/>
            <w:shd w:val="clear" w:color="auto" w:fill="auto"/>
          </w:tcPr>
          <w:p w14:paraId="4A4B1624" w14:textId="77777777"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b/>
                <w:sz w:val="24"/>
              </w:rPr>
              <w:t>1.1.3 Υπερβάλλουσες λειτουργικές καταθέσεις</w:t>
            </w:r>
          </w:p>
          <w:p w14:paraId="5270A97A" w14:textId="045BBD4F"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rPr>
              <w:t>Άρθρο 27 παράγραφος 4 του κατ’ εξουσιοδότηση κανονισμού (ΕΕ) 2015/61.</w:t>
            </w:r>
          </w:p>
          <w:p w14:paraId="126E8428" w14:textId="5D75EC93"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rPr>
              <w:t xml:space="preserve">Τα πιστωτικά ιδρύματα αναφέρουν εδώ το μέρος των λειτουργικών καταθέσεων πέραν εκείνων που απαιτούνται για την παροχή λειτουργικών υπηρεσιών. </w:t>
            </w:r>
          </w:p>
        </w:tc>
      </w:tr>
      <w:tr w:rsidR="00B47B7D" w:rsidRPr="000B6B22" w14:paraId="3E407D02" w14:textId="77777777" w:rsidTr="00454544">
        <w:tc>
          <w:tcPr>
            <w:tcW w:w="1457" w:type="dxa"/>
            <w:shd w:val="clear" w:color="auto" w:fill="auto"/>
            <w:vAlign w:val="center"/>
          </w:tcPr>
          <w:p w14:paraId="4446A358" w14:textId="3476EFB9"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0204</w:t>
            </w:r>
          </w:p>
        </w:tc>
        <w:tc>
          <w:tcPr>
            <w:tcW w:w="6946" w:type="dxa"/>
            <w:shd w:val="clear" w:color="auto" w:fill="auto"/>
          </w:tcPr>
          <w:p w14:paraId="3275F7D6" w14:textId="77777777"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b/>
                <w:sz w:val="24"/>
              </w:rPr>
              <w:t>1.1.3.1 καταθέσεις χρηματοπιστωτικών πελατών</w:t>
            </w:r>
          </w:p>
          <w:p w14:paraId="1FC1684F" w14:textId="5B059282"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rPr>
              <w:t>Άρθρο 27 παράγραφος 4 και άρθρο 31α παράγραφος 1 του κατ’ εξουσιοδότηση κανονισμού (ΕΕ) 2015/61</w:t>
            </w:r>
          </w:p>
          <w:p w14:paraId="4F6DB188" w14:textId="66A767FA" w:rsidR="006E48EA" w:rsidRPr="000B6B22" w:rsidRDefault="006E48EA" w:rsidP="009D4EFF">
            <w:pPr>
              <w:pStyle w:val="TableParagraph"/>
              <w:spacing w:after="120"/>
              <w:ind w:right="96"/>
              <w:jc w:val="both"/>
              <w:rPr>
                <w:rFonts w:ascii="Times New Roman" w:eastAsia="Times New Roman" w:hAnsi="Times New Roman"/>
                <w:b/>
                <w:sz w:val="24"/>
                <w:szCs w:val="24"/>
              </w:rPr>
            </w:pPr>
            <w:r>
              <w:rPr>
                <w:rFonts w:ascii="Times New Roman" w:hAnsi="Times New Roman"/>
                <w:sz w:val="24"/>
              </w:rPr>
              <w:t>Τα πιστωτικά ιδρύματα αναφέρουν το μέρος των λειτουργικών καταθέσεων χρηματοπιστωτικών πελατών πέραν εκείνων που απαιτούνται για την παροχή λειτουργικών υπηρεσιών σύμφωνα με το άρθρο 27 παράγραφος 4 του κατ’ εξουσιοδότηση κανονισμού (ΕΕ) 2015/61.</w:t>
            </w:r>
          </w:p>
        </w:tc>
      </w:tr>
      <w:tr w:rsidR="00B47B7D" w:rsidRPr="000B6B22" w14:paraId="1CC0D2C2" w14:textId="77777777" w:rsidTr="00454544">
        <w:tc>
          <w:tcPr>
            <w:tcW w:w="1457" w:type="dxa"/>
            <w:shd w:val="clear" w:color="auto" w:fill="auto"/>
            <w:vAlign w:val="center"/>
          </w:tcPr>
          <w:p w14:paraId="4B087DF5" w14:textId="6FD36411"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0205</w:t>
            </w:r>
          </w:p>
        </w:tc>
        <w:tc>
          <w:tcPr>
            <w:tcW w:w="6946" w:type="dxa"/>
            <w:shd w:val="clear" w:color="auto" w:fill="auto"/>
          </w:tcPr>
          <w:p w14:paraId="1FD4FDBE" w14:textId="7D658344" w:rsidR="006E48EA" w:rsidRPr="000B6B22" w:rsidRDefault="006E48EA">
            <w:pPr>
              <w:widowControl w:val="0"/>
              <w:spacing w:before="0"/>
              <w:rPr>
                <w:rFonts w:ascii="Times New Roman" w:hAnsi="Times New Roman"/>
                <w:b/>
                <w:sz w:val="24"/>
              </w:rPr>
            </w:pPr>
            <w:r>
              <w:rPr>
                <w:rFonts w:ascii="Times New Roman" w:hAnsi="Times New Roman"/>
                <w:b/>
                <w:sz w:val="24"/>
              </w:rPr>
              <w:t>1.1.3.2 καταθέσεις από άλλους πελάτες</w:t>
            </w:r>
          </w:p>
          <w:p w14:paraId="16F6B1C9" w14:textId="645D5FC3" w:rsidR="006E48EA" w:rsidRPr="000B6B22" w:rsidRDefault="006E48EA">
            <w:pPr>
              <w:widowControl w:val="0"/>
              <w:spacing w:before="0"/>
              <w:rPr>
                <w:rFonts w:ascii="Times New Roman" w:eastAsia="Verdana" w:hAnsi="Times New Roman"/>
                <w:sz w:val="24"/>
              </w:rPr>
            </w:pPr>
            <w:r>
              <w:rPr>
                <w:rFonts w:ascii="Times New Roman" w:hAnsi="Times New Roman"/>
                <w:sz w:val="24"/>
              </w:rPr>
              <w:t>Άρθρο 27 παράγραφος 4 και άρθρο 28 παράγραφος 1 του κατ’ εξουσιοδότηση κανονισμού (ΕΕ) 2015/61</w:t>
            </w:r>
          </w:p>
          <w:p w14:paraId="0D65EF3C" w14:textId="0E67B3E5" w:rsidR="006E48EA" w:rsidRPr="000B6B22" w:rsidRDefault="006E48EA">
            <w:pPr>
              <w:widowControl w:val="0"/>
              <w:spacing w:before="0"/>
              <w:ind w:right="96"/>
              <w:rPr>
                <w:rFonts w:ascii="Times New Roman" w:eastAsia="Verdana" w:hAnsi="Times New Roman"/>
                <w:sz w:val="24"/>
              </w:rPr>
            </w:pPr>
            <w:r>
              <w:rPr>
                <w:rFonts w:ascii="Times New Roman" w:hAnsi="Times New Roman"/>
                <w:sz w:val="24"/>
              </w:rPr>
              <w:t xml:space="preserve">Τα πιστωτικά ιδρύματα αναφέρουν το μέρος των λειτουργικών καταθέσεων από άλλους πελάτες εκτός των χρηματοπιστωτικών πελατών και εξαιρουμένων των καταθέσεων λιανικής, το οποίο υπερβαίνει εκείνες που απαιτούνται για την παροχή των λειτουργικών υπηρεσιών που αναφέρονται στην τελευταία περίοδο του άρθρου 27 </w:t>
            </w:r>
            <w:r>
              <w:rPr>
                <w:rFonts w:ascii="Times New Roman" w:hAnsi="Times New Roman"/>
                <w:sz w:val="24"/>
              </w:rPr>
              <w:lastRenderedPageBreak/>
              <w:t>παράγραφος 4 του κατ’ εξουσιοδότηση κανονισμού (ΕΕ) 2015/61.</w:t>
            </w:r>
          </w:p>
          <w:p w14:paraId="72B17420" w14:textId="3F4CDF2D"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sz w:val="24"/>
              </w:rPr>
              <w:t>Οι εν λόγω καθ’ υπέρβαση λειτουργικές καταθέσεις δηλώνονται σε δύο διαφορετικές γραμμές ανάλογα με το εάν καλύπτεται το συνολικό ποσό των καθ’ υπέρβαση λειτουργικών καταθέσεων (από σύστημα εγγύησης των καταθέσεων ή ισοδύναμο σύστημα εγγύησης καταθέσεων τρίτης χώρας).</w:t>
            </w:r>
          </w:p>
        </w:tc>
      </w:tr>
      <w:tr w:rsidR="00B47B7D" w:rsidRPr="000B6B22" w14:paraId="551BCFA8" w14:textId="77777777" w:rsidTr="00454544">
        <w:tc>
          <w:tcPr>
            <w:tcW w:w="1457" w:type="dxa"/>
            <w:shd w:val="clear" w:color="auto" w:fill="auto"/>
            <w:vAlign w:val="center"/>
          </w:tcPr>
          <w:p w14:paraId="2C621BF1" w14:textId="6CDB4433"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lastRenderedPageBreak/>
              <w:t>0206</w:t>
            </w:r>
          </w:p>
        </w:tc>
        <w:tc>
          <w:tcPr>
            <w:tcW w:w="6946" w:type="dxa"/>
            <w:shd w:val="clear" w:color="auto" w:fill="auto"/>
          </w:tcPr>
          <w:p w14:paraId="4AD6C09F"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u w:color="000000"/>
              </w:rPr>
              <w:t>1.1.3.2.1 που καλύπτονται από ΣΕΚ</w:t>
            </w:r>
          </w:p>
          <w:p w14:paraId="765C4BCE" w14:textId="63343BF8"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rPr>
              <w:t>Άρθρο 27 παράγραφος 4 και άρθρο 28 παράγραφος 1 του κατ’ εξουσιοδότηση κανονισμού (ΕΕ) 2015/61</w:t>
            </w:r>
          </w:p>
          <w:p w14:paraId="039DBB01" w14:textId="4BFC3249"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sz w:val="24"/>
              </w:rPr>
              <w:t>Τα πιστωτικά ιδρύματα αναφέρουν το συνολικό ποσό του υπολοίπου αυτών των καθ’ υπέρβαση λειτουργικών καταθέσεων που διατηρούνται από άλλους πελάτες εφόσον το εν λόγω συνολικό ποσό καλύπτεται από σύστημα εγγύησης καταθέσεων σύμφωνα με την οδηγία 94/19/ΕΚ ή την οδηγία 2014/48/ΕΚ ή από ισοδύναμο σύστημα εγγύησης των καταθέσεων σε τρίτη χώρα, όπως ορίζει το άρθρο 28 παράγραφος 1 του κατ’ εξουσιοδότηση κανονισμού (ΕΕ) 2015/61.</w:t>
            </w:r>
          </w:p>
        </w:tc>
      </w:tr>
      <w:tr w:rsidR="00B47B7D" w:rsidRPr="000B6B22" w14:paraId="4DD14BD3" w14:textId="77777777" w:rsidTr="00454544">
        <w:tc>
          <w:tcPr>
            <w:tcW w:w="1457" w:type="dxa"/>
            <w:shd w:val="clear" w:color="auto" w:fill="auto"/>
            <w:vAlign w:val="center"/>
          </w:tcPr>
          <w:p w14:paraId="26FA4603" w14:textId="4502E963"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0207</w:t>
            </w:r>
          </w:p>
        </w:tc>
        <w:tc>
          <w:tcPr>
            <w:tcW w:w="6946" w:type="dxa"/>
            <w:shd w:val="clear" w:color="auto" w:fill="auto"/>
          </w:tcPr>
          <w:p w14:paraId="6A5C9CBB"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u w:color="000000"/>
              </w:rPr>
              <w:t>1.1.3.2.2 που δεν καλύπτονται από ΣΕΚ</w:t>
            </w:r>
          </w:p>
          <w:p w14:paraId="535E55CE" w14:textId="021414B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rPr>
              <w:t>Άρθρο 27 παράγραφος 4 και άρθρο 28 παράγραφος 1 του κατ’ εξουσιοδότηση κανονισμού (ΕΕ) 2015/61</w:t>
            </w:r>
          </w:p>
          <w:p w14:paraId="7AD16309" w14:textId="229CBF9D"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rPr>
              <w:t>Τα πιστωτικά ιδρύματα αναφέρουν το συνολικό ποσό του υπολοίπου αυτών των καθ’ υπέρβαση λειτουργικών καταθέσεων που διατηρούνται από άλλους πελάτες εφόσον το εν λόγω συνολικό ποσό δεν καλύπτεται από σύστημα εγγύησης καταθέσεων σύμφωνα με την οδηγία 94/19/ΕΚ ή την οδηγία 2014/48/ΕΚ ή από ισοδύναμο σύστημα εγγύησης των καταθέσεων σε τρίτη χώρα, όπως ορίζει το άρθρο 28 παράγραφος 1 του κατ’ εξουσιοδότηση κανονισμού (ΕΕ) 2015/61.</w:t>
            </w:r>
          </w:p>
        </w:tc>
      </w:tr>
      <w:tr w:rsidR="00B47B7D" w:rsidRPr="000B6B22" w14:paraId="1DA0A304" w14:textId="77777777" w:rsidTr="00454544">
        <w:tc>
          <w:tcPr>
            <w:tcW w:w="1457" w:type="dxa"/>
            <w:shd w:val="clear" w:color="auto" w:fill="auto"/>
            <w:vAlign w:val="center"/>
          </w:tcPr>
          <w:p w14:paraId="7156CBB8" w14:textId="64EA0583"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0210</w:t>
            </w:r>
          </w:p>
        </w:tc>
        <w:tc>
          <w:tcPr>
            <w:tcW w:w="6946" w:type="dxa"/>
            <w:shd w:val="clear" w:color="auto" w:fill="auto"/>
          </w:tcPr>
          <w:p w14:paraId="03A85349" w14:textId="391E799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1.1.4. Μη λειτουργικές καταθέσεις</w:t>
            </w:r>
          </w:p>
          <w:p w14:paraId="0856F433" w14:textId="68C960B6"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Άρθρο 27 παράγραφος 5, άρθρο 28 παράγραφος 1 και άρθρο 31 παράγραφος 9 του κατ’ εξουσιοδότηση κανονισμού (ΕΕ) 2015/61</w:t>
            </w:r>
          </w:p>
          <w:p w14:paraId="3EBCDD20" w14:textId="5F30D62C"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Τα πιστωτικά ιδρύματα αναφέρουν εδώ τις μη εξασφαλισμένες καταθέσεις που αναφέρονται στο άρθρο 28 παράγραφος 1 του κατ’ εξουσιοδότηση κανονισμού (ΕΕ) 2015/61 και εκείνες που προκύπτουν από σχέση τραπεζικής ανταπόκρισης ή την παροχή υπηρεσιών βασικής μεσολάβησης, όπως αναφέρεται στο άρθρο 27 παράγραφος 5 του κατ’ εξουσιοδότηση κανονισμού (ΕΕ) 2015/61.</w:t>
            </w:r>
          </w:p>
          <w:p w14:paraId="227B2849" w14:textId="2C2CDB38" w:rsidR="006E48EA" w:rsidRPr="000B6B22" w:rsidRDefault="006E48EA" w:rsidP="009D4EFF">
            <w:pPr>
              <w:pStyle w:val="TableParagraph"/>
              <w:spacing w:after="120"/>
              <w:ind w:right="96"/>
              <w:jc w:val="both"/>
              <w:rPr>
                <w:rFonts w:ascii="Times New Roman" w:hAnsi="Times New Roman"/>
                <w:sz w:val="24"/>
                <w:szCs w:val="24"/>
              </w:rPr>
            </w:pPr>
            <w:r>
              <w:rPr>
                <w:rFonts w:ascii="Times New Roman" w:hAnsi="Times New Roman"/>
                <w:sz w:val="24"/>
              </w:rPr>
              <w:t>Τα πιστωτικά ιδρύματα αναφέρουν χωριστά, με εξαίρεση τις υποχρεώσεις που απορρέουν από σχέση τραπεζικής ανταπόκρισης ή την παροχή υπηρεσιών βασικής μεσολάβησης, όπως αναφέρεται στο άρθρο 27 παράγραφος 5 του κατ’ εξουσιοδότηση κανονισμού (ΕΕ) 2015/61, τις μη λειτουργικές καταθέσεις που καλύπτονται και που δεν καλύπτονται από σύστημα εγγύησης των καταθέσεων ή από ισοδύναμο σύστημα εγγύησης καταθέσεων τρίτης χώρας, όπως ορίζεται στα επόμενα σημεία των οδηγιών.</w:t>
            </w:r>
          </w:p>
          <w:p w14:paraId="188ABDD0" w14:textId="2E16B9BE" w:rsidR="006E48EA" w:rsidRPr="000B6B22" w:rsidRDefault="00CE45C4"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 xml:space="preserve">Το μέρος των λειτουργικών καταθέσεων πέραν εκείνων που απαιτούνται για την παροχή λειτουργικών υπηρεσιών δεν αναφέρεται </w:t>
            </w:r>
            <w:r>
              <w:rPr>
                <w:rFonts w:ascii="Times New Roman" w:hAnsi="Times New Roman"/>
                <w:sz w:val="24"/>
              </w:rPr>
              <w:lastRenderedPageBreak/>
              <w:t>εδώ αλλά αναφέρεται στο id 1.1.3.</w:t>
            </w:r>
          </w:p>
        </w:tc>
      </w:tr>
      <w:tr w:rsidR="00B47B7D" w:rsidRPr="000B6B22" w14:paraId="46E8C9CD" w14:textId="77777777" w:rsidTr="00454544">
        <w:tc>
          <w:tcPr>
            <w:tcW w:w="1457" w:type="dxa"/>
            <w:shd w:val="clear" w:color="auto" w:fill="auto"/>
            <w:vAlign w:val="center"/>
          </w:tcPr>
          <w:p w14:paraId="369A8AC0" w14:textId="4149F8B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0220</w:t>
            </w:r>
          </w:p>
        </w:tc>
        <w:tc>
          <w:tcPr>
            <w:tcW w:w="6946" w:type="dxa"/>
            <w:shd w:val="clear" w:color="auto" w:fill="auto"/>
          </w:tcPr>
          <w:p w14:paraId="10267CCB" w14:textId="07754A7C"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rPr>
              <w:t>1.1.4.1. καταθέσεις που σχετίζονται με υπηρεσίες τραπεζικής μέσω ανταποκριτών ή υπηρεσίες βασικής μεσολάβησης</w:t>
            </w:r>
          </w:p>
          <w:p w14:paraId="7F7B5494" w14:textId="6519636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Άρθρο 27 παράγραφος 5 του κατ’ εξουσιοδότηση κανονισμού (ΕΕ) 2015/61</w:t>
            </w:r>
          </w:p>
          <w:p w14:paraId="7F21989D" w14:textId="0A2391E8"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Τα πιστωτικά ιδρύματα αναφέρουν το ποσό του υπολοίπου καταθέσεων που προκύπτουν από σχέση τραπεζικής ανταπόκρισης ή την παροχή υπηρεσιών βασικής μεσολάβησης, όπως αναφέρεται στο άρθρο 27 παράγραφος 5 του κατ’ εξουσιοδότηση κανονισμού (ΕΕ) 2015/61.</w:t>
            </w:r>
          </w:p>
        </w:tc>
      </w:tr>
      <w:tr w:rsidR="00B47B7D" w:rsidRPr="000B6B22" w14:paraId="2F54C1B9" w14:textId="77777777" w:rsidTr="00454544">
        <w:tc>
          <w:tcPr>
            <w:tcW w:w="1457" w:type="dxa"/>
            <w:shd w:val="clear" w:color="auto" w:fill="auto"/>
            <w:vAlign w:val="center"/>
          </w:tcPr>
          <w:p w14:paraId="6B92A698" w14:textId="6777129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0230</w:t>
            </w:r>
          </w:p>
        </w:tc>
        <w:tc>
          <w:tcPr>
            <w:tcW w:w="6946" w:type="dxa"/>
            <w:shd w:val="clear" w:color="auto" w:fill="auto"/>
          </w:tcPr>
          <w:p w14:paraId="5A6FCC88" w14:textId="39B72AF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1.1.4.2. καταθέσεις χρηματοπιστωτικών πελατών</w:t>
            </w:r>
          </w:p>
          <w:p w14:paraId="249E59F0" w14:textId="65F9171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Άρθρο 31α παράγραφος 1 του κατ’ εξουσιοδότηση κανονισμού (ΕΕ) 2015/61</w:t>
            </w:r>
          </w:p>
          <w:p w14:paraId="384E4FB6" w14:textId="14E95E95"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Τα πιστωτικά ιδρύματα αναφέρουν το ποσό του υπολοίπου των καταθέσεων που διατηρούνται από χρηματοπιστωτικούς πελάτες στον βαθμό που δεν θεωρούνται λειτουργικές καταθέσεις σύμφωνα με το άρθρο 27 του κατ’ εξουσιοδότηση κανονισμού (ΕΕ) 2015/61.</w:t>
            </w:r>
          </w:p>
        </w:tc>
      </w:tr>
      <w:tr w:rsidR="00B47B7D" w:rsidRPr="000B6B22" w14:paraId="5A5F6A10" w14:textId="77777777" w:rsidTr="00454544">
        <w:tc>
          <w:tcPr>
            <w:tcW w:w="1457" w:type="dxa"/>
            <w:shd w:val="clear" w:color="auto" w:fill="auto"/>
            <w:vAlign w:val="center"/>
          </w:tcPr>
          <w:p w14:paraId="6198B06B" w14:textId="51FBBF8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0240</w:t>
            </w:r>
          </w:p>
        </w:tc>
        <w:tc>
          <w:tcPr>
            <w:tcW w:w="6946" w:type="dxa"/>
            <w:shd w:val="clear" w:color="auto" w:fill="auto"/>
          </w:tcPr>
          <w:p w14:paraId="6D03B3BF" w14:textId="1C08484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1.1.4.3. καταθέσεις από άλλους πελάτες</w:t>
            </w:r>
          </w:p>
          <w:p w14:paraId="0575116B" w14:textId="10A30B3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Άρθρο 28 παράγραφος 1 του κατ’ εξουσιοδότηση κανονισμού (ΕΕ) 2015/61</w:t>
            </w:r>
          </w:p>
          <w:p w14:paraId="1EB02415" w14:textId="726FAD8B"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Τα πιστωτικά ιδρύματα αναφέρουν τις καταθέσεις που διατηρούνται από άλλους πελάτες (πλην των χρηματοπιστωτικών πελατών και των πελατών με καταθέσεις λιανικής), όπως αναφέρεται στο άρθρο 28 παράγραφος 1 του κατ’ εξουσιοδότηση κανονισμού (ΕΕ) 2015/61, εφόσον οι εν λόγω καταθέσεις δεν θεωρούνται λειτουργικές καταθέσεις σύμφωνα με το άρθρο 27 του κατ’ εξουσιοδότηση κανονισμού (ΕΕ) 2015/61.</w:t>
            </w:r>
          </w:p>
          <w:p w14:paraId="1002E6DD" w14:textId="06FE201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Οι εν λόγω καταθέσεις δηλώνονται σε δύο διαφορετικές γραμμές ανάλογα με το εάν καλύπτεται το συνολικό ποσό των καταθέσεων (από σύστημα εγγύησης των καταθέσεων ή ισοδύναμο σύστημα εγγύησης καταθέσεων τρίτης χώρας).</w:t>
            </w:r>
          </w:p>
        </w:tc>
      </w:tr>
      <w:tr w:rsidR="00B47B7D" w:rsidRPr="000B6B22" w14:paraId="7CF8932F" w14:textId="77777777" w:rsidTr="00454544">
        <w:tc>
          <w:tcPr>
            <w:tcW w:w="1457" w:type="dxa"/>
            <w:shd w:val="clear" w:color="auto" w:fill="auto"/>
            <w:vAlign w:val="center"/>
          </w:tcPr>
          <w:p w14:paraId="1974CBBB" w14:textId="5B4180E8"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0250</w:t>
            </w:r>
          </w:p>
        </w:tc>
        <w:tc>
          <w:tcPr>
            <w:tcW w:w="6946" w:type="dxa"/>
            <w:shd w:val="clear" w:color="auto" w:fill="auto"/>
          </w:tcPr>
          <w:p w14:paraId="340F165B" w14:textId="2577C79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1.1.4.3.1. που καλύπτονται από ΣΕΚ</w:t>
            </w:r>
          </w:p>
          <w:p w14:paraId="4CCB9811" w14:textId="5E223D3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Άρθρο 28 παράγραφος 1 του κατ’ εξουσιοδότηση κανονισμού (ΕΕ) 2015/61</w:t>
            </w:r>
          </w:p>
          <w:p w14:paraId="3B8874E0" w14:textId="595A7454"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Τα πιστωτικά ιδρύματα αναφέρουν το συνολικό ποσό του υπολοίπου αυτών των καταθέσεων που διατηρούνται από άλλους πελάτες εφόσον το εν λόγω συνολικό ποσό καλύπτεται από σύστημα εγγύησης καταθέσεων σύμφωνα με την οδηγία 94/19/ΕΚ ή την οδηγία 2014/48/ΕΚ ή από ισοδύναμο σύστημα εγγύησης των καταθέσεων σε τρίτη χώρα, όπως ορίζει το άρθρο 28 παράγραφος 1 του κατ’ εξουσιοδότηση κανονισμού (ΕΕ) 2015/61.</w:t>
            </w:r>
          </w:p>
        </w:tc>
      </w:tr>
      <w:tr w:rsidR="00B47B7D" w:rsidRPr="000B6B22" w14:paraId="38A29174" w14:textId="77777777" w:rsidTr="00454544">
        <w:tc>
          <w:tcPr>
            <w:tcW w:w="1457" w:type="dxa"/>
            <w:shd w:val="clear" w:color="auto" w:fill="auto"/>
            <w:vAlign w:val="center"/>
          </w:tcPr>
          <w:p w14:paraId="67335BCC" w14:textId="2376145D"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0260</w:t>
            </w:r>
          </w:p>
        </w:tc>
        <w:tc>
          <w:tcPr>
            <w:tcW w:w="6946" w:type="dxa"/>
            <w:shd w:val="clear" w:color="auto" w:fill="auto"/>
          </w:tcPr>
          <w:p w14:paraId="440F7A4B" w14:textId="65DEB35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1.1.4.3.2. που δεν καλύπτονται από ΣΕΚ</w:t>
            </w:r>
          </w:p>
          <w:p w14:paraId="677F192A" w14:textId="247B0DF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Άρθρο 28 παράγραφος 1 του κατ’ εξουσιοδότηση κανονισμού (ΕΕ) 2015/61</w:t>
            </w:r>
          </w:p>
          <w:p w14:paraId="0BAAF5C1" w14:textId="3A27A49D"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lastRenderedPageBreak/>
              <w:t>Τα πιστωτικά ιδρύματα αναφέρουν το συνολικό ποσό του υπολοίπου αυτών των καταθέσεων που διατηρούνται από άλλους πελάτες εφόσον το εν λόγω συνολικό ποσό δεν καλύπτεται από σύστημα εγγύησης καταθέσεων σύμφωνα με την οδηγία 94/19/ΕΚ ή την οδηγία 2014/48/ΕΚ ή από ισοδύναμο σύστημα εγγύησης των καταθέσεων σε τρίτη χώρα, όπως ορίζει το άρθρο 28 παράγραφος 1 του κατ’ εξουσιοδότηση κανονισμού (ΕΕ) 2015/61.</w:t>
            </w:r>
          </w:p>
        </w:tc>
      </w:tr>
      <w:tr w:rsidR="00B47B7D" w:rsidRPr="000B6B22" w14:paraId="2E79F62F" w14:textId="77777777" w:rsidTr="00454544">
        <w:tc>
          <w:tcPr>
            <w:tcW w:w="1457" w:type="dxa"/>
            <w:shd w:val="clear" w:color="auto" w:fill="auto"/>
            <w:vAlign w:val="center"/>
          </w:tcPr>
          <w:p w14:paraId="4FB2ECA7" w14:textId="3CBFB83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0270</w:t>
            </w:r>
          </w:p>
        </w:tc>
        <w:tc>
          <w:tcPr>
            <w:tcW w:w="6946" w:type="dxa"/>
            <w:shd w:val="clear" w:color="auto" w:fill="auto"/>
          </w:tcPr>
          <w:p w14:paraId="550E0D97" w14:textId="2F72134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 Πρόσθετες εκροές</w:t>
            </w:r>
          </w:p>
          <w:p w14:paraId="16CAB9B3" w14:textId="1FD293C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Άρθρο 30 του κατ’ εξουσιοδότηση κανονισμού (ΕΕ) 2015/61</w:t>
            </w:r>
          </w:p>
          <w:p w14:paraId="13AA91EF" w14:textId="3A994537" w:rsidR="007B3A17"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rPr>
              <w:t xml:space="preserve">Τα πιστωτικά ιδρύματα αναφέρουν εδώ τις πρόσθετες εκροές, όπως αναφέρεται στο άρθρο 30 του κατ’ εξουσιοδότηση κανονισμού (ΕΕ) 2015/61. </w:t>
            </w:r>
          </w:p>
          <w:p w14:paraId="1033CE31" w14:textId="550479E7" w:rsidR="006E48EA" w:rsidRPr="000B6B22" w:rsidRDefault="00DD4C72"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Οι καταθέσεις που λαμβάνονται ως εξασφάλιση, όπως αναφέρεται στο άρθρο 30 παράγραφος 7 του κατ’ εξουσιοδότηση κανονισμού (ΕΕ) 2015/61, δεν θεωρούνται υποχρεώσεις για τους σκοπούς των άρθρων 24, 25, 27 ή 31α του κατ’ εξουσιοδότηση κανονισμού (ΕΕ) 2015/61, αλλά υπόκεινται στο άρθρο 30 παράγραφοι 1 έως 6 του κατ’ εξουσιοδότηση κανονισμού (ΕΕ) 2015/61, κατά περίπτωση.</w:t>
            </w:r>
          </w:p>
        </w:tc>
      </w:tr>
      <w:tr w:rsidR="00B47B7D" w:rsidRPr="000B6B22" w14:paraId="7D5682FB" w14:textId="77777777" w:rsidTr="00454544">
        <w:tc>
          <w:tcPr>
            <w:tcW w:w="1457" w:type="dxa"/>
            <w:shd w:val="clear" w:color="auto" w:fill="auto"/>
            <w:vAlign w:val="center"/>
          </w:tcPr>
          <w:p w14:paraId="17E62E63" w14:textId="401C9A3F"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0280</w:t>
            </w:r>
          </w:p>
        </w:tc>
        <w:tc>
          <w:tcPr>
            <w:tcW w:w="6946" w:type="dxa"/>
            <w:shd w:val="clear" w:color="auto" w:fill="auto"/>
          </w:tcPr>
          <w:p w14:paraId="103E8290" w14:textId="16DE94F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1.1.5.1. εξασφαλίσεις πλην των εξασφαλίσεων με στοιχεία ενεργητικού επιπέδου 1 που παρέχονται για συναλλαγές σε παράγωγα</w:t>
            </w:r>
          </w:p>
          <w:p w14:paraId="72597280" w14:textId="27C5813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Άρθρο 30 παράγραφος 1 του κατ’ εξουσιοδότηση κανονισμού (ΕΕ) 2015/61</w:t>
            </w:r>
          </w:p>
          <w:p w14:paraId="1A56570E"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Τα πιστωτικά ιδρύματα αναφέρουν την αγοραία αξία άλλων εξασφαλίσεων εκτός από τις εξασφαλίσεις επιπέδου 1 που παρέχονται για συμβάσεις οι οποίες αναφέρονται στο παράρτημα II του κανονισμού (ΕΕ) αριθ. 575/2013 και για πιστωτικά παράγωγα.</w:t>
            </w:r>
          </w:p>
        </w:tc>
      </w:tr>
      <w:tr w:rsidR="00B47B7D" w:rsidRPr="000B6B22" w14:paraId="7B090D4F" w14:textId="77777777" w:rsidTr="00454544">
        <w:tc>
          <w:tcPr>
            <w:tcW w:w="1457" w:type="dxa"/>
            <w:shd w:val="clear" w:color="auto" w:fill="auto"/>
            <w:vAlign w:val="center"/>
          </w:tcPr>
          <w:p w14:paraId="7AEBE1A6" w14:textId="45CDA86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0290</w:t>
            </w:r>
          </w:p>
        </w:tc>
        <w:tc>
          <w:tcPr>
            <w:tcW w:w="6946" w:type="dxa"/>
            <w:shd w:val="clear" w:color="auto" w:fill="auto"/>
          </w:tcPr>
          <w:p w14:paraId="463C90EB" w14:textId="7406722B"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rPr>
              <w:t>1.1.5.2. εξασφαλίσεις με στοιχεία ενεργητικού ΕΥΠ καλυμμένων ομολόγων επιπέδου 1 που παρέχονται για συναλλαγές σε παράγωγα</w:t>
            </w:r>
          </w:p>
          <w:p w14:paraId="6B80942E" w14:textId="5EFADCD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Άρθρο 30 παράγραφος 1 του κατ’ εξουσιοδότηση κανονισμού (ΕΕ) 2015/61</w:t>
            </w:r>
          </w:p>
          <w:p w14:paraId="262F2E1E" w14:textId="77777777" w:rsidR="006E48EA" w:rsidRPr="000B6B22" w:rsidRDefault="006E48EA" w:rsidP="009D4EFF">
            <w:pPr>
              <w:pStyle w:val="TableParagraph"/>
              <w:spacing w:after="120"/>
              <w:jc w:val="both"/>
              <w:rPr>
                <w:rFonts w:ascii="Times New Roman" w:eastAsia="Times New Roman" w:hAnsi="Times New Roman"/>
                <w:sz w:val="24"/>
                <w:szCs w:val="24"/>
              </w:rPr>
            </w:pPr>
            <w:r>
              <w:rPr>
                <w:rFonts w:ascii="Times New Roman" w:hAnsi="Times New Roman"/>
                <w:sz w:val="24"/>
              </w:rPr>
              <w:t>Τα πιστωτικά ιδρύματα αναφέρουν την αγοραία αξία των εξασφαλίσεων με ΕΥΠ καλυμμένα ομόλογα επιπέδου 1 που παρέχονται για τις συμβάσεις που απαριθμούνται στο παράρτημα II του κανονισμού (ΕΕ) αριθ. 575/2013 και τα πιστωτικά παράγωγα.</w:t>
            </w:r>
          </w:p>
        </w:tc>
      </w:tr>
      <w:tr w:rsidR="00B47B7D" w:rsidRPr="000B6B22" w14:paraId="771D0809" w14:textId="77777777" w:rsidTr="00454544">
        <w:tc>
          <w:tcPr>
            <w:tcW w:w="1457" w:type="dxa"/>
            <w:shd w:val="clear" w:color="auto" w:fill="auto"/>
            <w:vAlign w:val="center"/>
          </w:tcPr>
          <w:p w14:paraId="25509CCB" w14:textId="08643C5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0300</w:t>
            </w:r>
          </w:p>
        </w:tc>
        <w:tc>
          <w:tcPr>
            <w:tcW w:w="6946" w:type="dxa"/>
            <w:shd w:val="clear" w:color="auto" w:fill="auto"/>
          </w:tcPr>
          <w:p w14:paraId="13FE1950" w14:textId="3656C7A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1.1.5.3. ουσιώδεις εκροές λόγω υποβάθμισης της ίδιας πιστωτικής ποιότητας</w:t>
            </w:r>
          </w:p>
          <w:p w14:paraId="10BCBEF6" w14:textId="58F7175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Άρθρο 30 παράγραφος 2 του κατ’ εξουσιοδότηση κανονισμού (ΕΕ) 2015/61</w:t>
            </w:r>
          </w:p>
          <w:p w14:paraId="16F72348" w14:textId="4209D2D1" w:rsidR="006E48EA" w:rsidRPr="000B6B22" w:rsidRDefault="006E48EA" w:rsidP="009D4EFF">
            <w:pPr>
              <w:pStyle w:val="TableParagraph"/>
              <w:spacing w:after="120"/>
              <w:ind w:right="97"/>
              <w:jc w:val="both"/>
              <w:rPr>
                <w:rFonts w:ascii="Times New Roman" w:hAnsi="Times New Roman"/>
                <w:sz w:val="24"/>
                <w:szCs w:val="24"/>
              </w:rPr>
            </w:pPr>
            <w:r>
              <w:rPr>
                <w:rFonts w:ascii="Times New Roman" w:hAnsi="Times New Roman"/>
                <w:sz w:val="24"/>
              </w:rPr>
              <w:t>Τα πιστωτικά ιδρύματα αναφέρουν το συνολικό ύψος των πρόσθετων εκροών που έχουν υπολογίσει και κοινοποιήσει στις αρμόδιες αρχές σύμφωνα με το άρθρο 30 παράγραφος 2 του κατ’ εξουσιοδότηση κανονισμού (ΕΕ) 2015/61.</w:t>
            </w:r>
          </w:p>
          <w:p w14:paraId="08E93EDB" w14:textId="49B56D7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lastRenderedPageBreak/>
              <w:t>Εάν ένα ποσό που αποτελεί αντικείμενο εκροής λόγω επιδείνωσης της ίδιας πιστωτικής ποιότητας έχει αναφερθεί σε άλλη γραμμή με συντελεστή στάθμισης κατώτερο του 100 %, τότε στη γραμμή 0300 αναφέρεται επίσης ένα ποσό, κατά τρόπο ώστε το άθροισμα των εκροών να είναι το 100 % της εκροής συνολικά για τη συναλλαγή.</w:t>
            </w:r>
          </w:p>
        </w:tc>
      </w:tr>
      <w:tr w:rsidR="00B47B7D" w:rsidRPr="000B6B22" w14:paraId="7AA97429" w14:textId="77777777" w:rsidTr="00454544">
        <w:tc>
          <w:tcPr>
            <w:tcW w:w="1457" w:type="dxa"/>
            <w:shd w:val="clear" w:color="auto" w:fill="auto"/>
            <w:vAlign w:val="center"/>
          </w:tcPr>
          <w:p w14:paraId="2FCA2F1E" w14:textId="5F2F120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0310</w:t>
            </w:r>
          </w:p>
        </w:tc>
        <w:tc>
          <w:tcPr>
            <w:tcW w:w="6946" w:type="dxa"/>
            <w:shd w:val="clear" w:color="auto" w:fill="auto"/>
          </w:tcPr>
          <w:p w14:paraId="5AE1B268" w14:textId="2B25FD1B"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rPr>
              <w:t>1.1.5.4. αντίκτυπος ενός δυσμενούς σεναρίου στην αγορά συναλλαγών παραγώγων</w:t>
            </w:r>
            <w:r>
              <w:rPr>
                <w:rFonts w:ascii="Times New Roman" w:hAnsi="Times New Roman"/>
                <w:b/>
                <w:sz w:val="24"/>
                <w:u w:color="000000"/>
              </w:rPr>
              <w:t xml:space="preserve"> </w:t>
            </w:r>
          </w:p>
          <w:p w14:paraId="771BB439" w14:textId="0DE9761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Άρθρο 30 παράγραφος 3 του κατ’ εξουσιοδότηση κανονισμού (ΕΕ) 2015/61</w:t>
            </w:r>
          </w:p>
          <w:p w14:paraId="682BFD83" w14:textId="68171EDB"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Τα πιστωτικά ιδρύματα αναφέρουν το ποσό των εκροών, υπολογιζόμενο σύμφωνα με τον κατ’ εξουσιοδότηση κανονισμό (ΕΕ) 2017/208 της Επιτροπής.</w:t>
            </w:r>
          </w:p>
        </w:tc>
      </w:tr>
      <w:tr w:rsidR="00B47B7D" w:rsidRPr="000B6B22" w14:paraId="1DB8869A" w14:textId="77777777" w:rsidTr="00454544">
        <w:tc>
          <w:tcPr>
            <w:tcW w:w="1457" w:type="dxa"/>
            <w:shd w:val="clear" w:color="auto" w:fill="auto"/>
            <w:vAlign w:val="center"/>
          </w:tcPr>
          <w:p w14:paraId="3F778563" w14:textId="086C811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0340</w:t>
            </w:r>
          </w:p>
        </w:tc>
        <w:tc>
          <w:tcPr>
            <w:tcW w:w="6946" w:type="dxa"/>
            <w:shd w:val="clear" w:color="auto" w:fill="auto"/>
          </w:tcPr>
          <w:p w14:paraId="5C177DB3" w14:textId="0664434D" w:rsidR="006E48EA" w:rsidRPr="000B6B22" w:rsidRDefault="006E48EA" w:rsidP="009D4EFF">
            <w:pPr>
              <w:pStyle w:val="TableParagraph"/>
              <w:spacing w:after="120"/>
              <w:jc w:val="both"/>
              <w:rPr>
                <w:rFonts w:ascii="Times New Roman" w:hAnsi="Times New Roman"/>
                <w:b/>
                <w:sz w:val="24"/>
                <w:szCs w:val="24"/>
                <w:u w:color="000000"/>
              </w:rPr>
            </w:pPr>
            <w:r>
              <w:rPr>
                <w:rFonts w:ascii="Times New Roman" w:hAnsi="Times New Roman"/>
                <w:b/>
                <w:sz w:val="24"/>
                <w:u w:color="000000"/>
              </w:rPr>
              <w:t>1.1.5.5. εκροές από παράγωγα</w:t>
            </w:r>
          </w:p>
          <w:p w14:paraId="44893AF1" w14:textId="08695F5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Άρθρο 30 παράγραφος 4 του κατ’ εξουσιοδότηση κανονισμού (ΕΕ) 2015/61</w:t>
            </w:r>
          </w:p>
          <w:p w14:paraId="261A5343" w14:textId="4D7AE93D"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Τα πιστωτικά ιδρύματα αναφέρουν το ποσό των εκροών που αναμένονται σε 30 ημερολογιακές ημέρες από συμβάσεις που αναφέρονται στο παράρτημα II του κανονισμού (ΕΕ) αριθ. 575/2013 και από πιστωτικά παράγωγα, υπολογιζόμενο σύμφωνα με το άρθρο 21 του κατ’ εξουσιοδότηση κανονισμού (ΕΕ) 2015/61.</w:t>
            </w:r>
          </w:p>
          <w:p w14:paraId="1A99EA26" w14:textId="4F76919A" w:rsidR="006E48EA" w:rsidRPr="000B6B22" w:rsidRDefault="00C0334C" w:rsidP="009D4EFF">
            <w:pPr>
              <w:pStyle w:val="TableParagraph"/>
              <w:spacing w:after="120"/>
              <w:jc w:val="both"/>
              <w:rPr>
                <w:rFonts w:ascii="Times New Roman" w:eastAsia="Verdana" w:hAnsi="Times New Roman"/>
                <w:sz w:val="24"/>
                <w:szCs w:val="24"/>
              </w:rPr>
            </w:pPr>
            <w:r>
              <w:rPr>
                <w:rFonts w:ascii="Times New Roman" w:hAnsi="Times New Roman"/>
                <w:sz w:val="24"/>
              </w:rPr>
              <w:t>Για τις περιπτώσεις υποβολής αναφορών σε χωριστό νόμισμα, σύμφωνα με το άρθρο 415 παράγραφος 2 του κανονισμού (ΕΕ) αριθ. 575/2013, μόνο, τα πιστωτικά ιδρύματα υποβάλλουν τις εκροές που εμφανίζονται μόνο στο αντίστοιχο σημαντικό νόμισμα. Ο συμψηφισμός ανά αντισυμβαλλόμενο μπορεί να εφαρμοστεί μόνο σε ροές στο εν λόγω νόμισμα, για παράδειγμα η περίπτωση όπου αντισυμβαλλόμενος Α: EUR+10 και αντισυμβαλλόμενος Α: EUR-20 αναφέρεται ως εκροή 10 EUR. Δεν πραγματοποιείται συμψηφισμός μεταξύ αντισυμβαλλομένων, π.χ. η περίπτωση όπου αντισυμβαλλόμενος Α: EUR-10, αντισυμβαλλόμενος Β: EUR+40 αναφέρεται ως εκροή 10 EUR στο C73.00 (και εισροή 40 EUR στο C 74.00).</w:t>
            </w:r>
          </w:p>
        </w:tc>
      </w:tr>
      <w:tr w:rsidR="00B47B7D" w:rsidRPr="000B6B22" w14:paraId="1DE29012" w14:textId="77777777" w:rsidTr="00454544">
        <w:tc>
          <w:tcPr>
            <w:tcW w:w="1457" w:type="dxa"/>
            <w:shd w:val="clear" w:color="auto" w:fill="auto"/>
            <w:vAlign w:val="center"/>
          </w:tcPr>
          <w:p w14:paraId="4B1090C5" w14:textId="5534558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0350</w:t>
            </w:r>
          </w:p>
        </w:tc>
        <w:tc>
          <w:tcPr>
            <w:tcW w:w="6946" w:type="dxa"/>
            <w:shd w:val="clear" w:color="auto" w:fill="auto"/>
          </w:tcPr>
          <w:p w14:paraId="5E6A74C3" w14:textId="12BC965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1.1.5.6. αρνητικές θέσεις</w:t>
            </w:r>
          </w:p>
          <w:p w14:paraId="7ED5B18D" w14:textId="7F52AD30"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Άρθρο 30 παράγραφος 5 του κατ’ εξουσιοδότηση κανονισμού (ΕΕ) 2015/61</w:t>
            </w:r>
          </w:p>
          <w:p w14:paraId="6D88383E" w14:textId="21CAF716"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 xml:space="preserve">Εάν το πιστωτικό ίδρυμα έχει αρνητική θέση που καλύπτεται από δανειοληψία τίτλων χωρίς εξασφάλιση, το πιστωτικό ίδρυμα προσθέτει συμπληρωματική εκροή, που αντιστοιχεί στο 100 % της αγοραίας αξίας των τίτλων ή άλλων στοιχείων ενεργητικού που πωλούνται με ανοικτή πώληση, εκτός εάν οι όροι με τους οποίους έχει δανειστεί το πιστωτικό ίδρυμα απαιτούν την επιστροφή τους μόνον έπειτα από 30 ημερολογιακές ημέρες. Εάν η αρνητική θέση καλύπτεται από εξασφαλισμένη συναλλαγή χρηματοδότησης τίτλων, το πιστωτικό ίδρυμα θεωρεί ότι η αρνητική θέση θα διατηρηθεί καθ’ όλη τη διάρκεια των 30 ημερολογιακών ημερών και θα λάβει ποσοστό εκροής ύψους 0 %. </w:t>
            </w:r>
          </w:p>
        </w:tc>
      </w:tr>
      <w:tr w:rsidR="00B47B7D" w:rsidRPr="000B6B22" w14:paraId="0B66DCD0" w14:textId="77777777" w:rsidTr="00454544">
        <w:tc>
          <w:tcPr>
            <w:tcW w:w="1457" w:type="dxa"/>
            <w:shd w:val="clear" w:color="auto" w:fill="auto"/>
            <w:vAlign w:val="center"/>
          </w:tcPr>
          <w:p w14:paraId="17BDCB99" w14:textId="535336D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0360</w:t>
            </w:r>
          </w:p>
        </w:tc>
        <w:tc>
          <w:tcPr>
            <w:tcW w:w="6946" w:type="dxa"/>
            <w:shd w:val="clear" w:color="auto" w:fill="auto"/>
          </w:tcPr>
          <w:p w14:paraId="795C8A86" w14:textId="0275C90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1.1.5.6.1. που καλύπτονται από εξασφαλισμένες συναλλαγές χρηματοδότησης τίτλων (ΣΧΤ)</w:t>
            </w:r>
          </w:p>
          <w:p w14:paraId="6DE3CE3B" w14:textId="37D2CBE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Άρθρο 30 παράγραφος 5 του κατ’ εξουσιοδότηση κανονισμού (ΕΕ) 2015/61</w:t>
            </w:r>
          </w:p>
          <w:p w14:paraId="5D972B59" w14:textId="2CE47E49"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 xml:space="preserve">Τα πιστωτικά ιδρύματα αναφέρουν την αγοραία αξία των τίτλων ή άλλων στοιχείων ενεργητικού που πωλούνται με ανοικτή πώληση, καλύπτονται από εξασφαλισμένες συναλλαγές χρηματοδότησης τίτλων και πρέπει να παραδοθούν εντός 30 ημερολογιακών ημερών, εκτός εάν το πιστωτικό ίδρυμα τους έχει δανειστεί με όρους που απαιτούν την επιστροφή τους μόνο μετά από 30 ημερολογιακές ημέρες. </w:t>
            </w:r>
          </w:p>
        </w:tc>
      </w:tr>
      <w:tr w:rsidR="00B47B7D" w:rsidRPr="000B6B22" w14:paraId="5C7AFBB0" w14:textId="77777777" w:rsidTr="00454544">
        <w:tc>
          <w:tcPr>
            <w:tcW w:w="1457" w:type="dxa"/>
            <w:shd w:val="clear" w:color="auto" w:fill="auto"/>
            <w:vAlign w:val="center"/>
          </w:tcPr>
          <w:p w14:paraId="0431C51F" w14:textId="2684C38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0370</w:t>
            </w:r>
          </w:p>
        </w:tc>
        <w:tc>
          <w:tcPr>
            <w:tcW w:w="6946" w:type="dxa"/>
            <w:shd w:val="clear" w:color="auto" w:fill="auto"/>
          </w:tcPr>
          <w:p w14:paraId="0A8EAC5E" w14:textId="77D17A5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1.1.5.6.2. άλλες</w:t>
            </w:r>
          </w:p>
          <w:p w14:paraId="03CD9FA8" w14:textId="57DE2669"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rPr>
              <w:t>Άρθρο 30 παράγραφος 5 του κατ’ εξουσιοδότηση κανονισμού (ΕΕ) 2015/61</w:t>
            </w:r>
          </w:p>
          <w:p w14:paraId="04D78E4E" w14:textId="6AC9666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Τα πιστωτικά ιδρύματα αναφέρουν την αγοραία αξία των τίτλων ή άλλων στοιχείων ενεργητικού που πωλούνται με ανοικτή πώληση, πλην όσων καλύπτονται από εξασφαλισμένες συναλλαγές χρηματοδότησης τίτλων και πρέπει να παραδοθούν εντός 30 ημερολογιακών ημερών, εκτός εάν το πιστωτικό ίδρυμα τους έχει δανειστεί με όρους που απαιτούν την επιστροφή τους μόνο μετά από 30 ημερολογιακές ημέρες.</w:t>
            </w:r>
          </w:p>
        </w:tc>
      </w:tr>
      <w:tr w:rsidR="00B47B7D" w:rsidRPr="000B6B22" w14:paraId="2FD58D2E" w14:textId="77777777" w:rsidTr="00454544">
        <w:tc>
          <w:tcPr>
            <w:tcW w:w="1457" w:type="dxa"/>
            <w:shd w:val="clear" w:color="auto" w:fill="auto"/>
            <w:vAlign w:val="center"/>
          </w:tcPr>
          <w:p w14:paraId="751665FE" w14:textId="2362C61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0380</w:t>
            </w:r>
          </w:p>
        </w:tc>
        <w:tc>
          <w:tcPr>
            <w:tcW w:w="6946" w:type="dxa"/>
            <w:shd w:val="clear" w:color="auto" w:fill="auto"/>
          </w:tcPr>
          <w:p w14:paraId="61498D0D" w14:textId="4BBDE85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1.1.5.7. απαιτητό υπερβάλλον ποσό των εξασφαλίσεων</w:t>
            </w:r>
          </w:p>
          <w:p w14:paraId="07215A47" w14:textId="2AE6D29D"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Άρθρο 30 παράγραφος 6 στοιχείο α) του κατ’ εξουσιοδότηση κανονισμού (ΕΕ) 2015/61</w:t>
            </w:r>
          </w:p>
          <w:p w14:paraId="48EC646D" w14:textId="77777777"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sz w:val="24"/>
              </w:rPr>
              <w:t>Τα πιστωτικά ιδρύματα αναφέρουν την αγοραία αξία του επιπλέον ποσού της εξασφάλισης που κατέχει το ίδρυμα και μπορεί να καταστεί συμβατικά απαιτητό ανά πάσα στιγμή από τον αντισυμβαλλόμενο.</w:t>
            </w:r>
          </w:p>
        </w:tc>
      </w:tr>
      <w:tr w:rsidR="00B47B7D" w:rsidRPr="000B6B22" w14:paraId="4B587F73" w14:textId="77777777" w:rsidTr="00454544">
        <w:tc>
          <w:tcPr>
            <w:tcW w:w="1457" w:type="dxa"/>
            <w:shd w:val="clear" w:color="auto" w:fill="auto"/>
            <w:vAlign w:val="center"/>
          </w:tcPr>
          <w:p w14:paraId="2E95E08C" w14:textId="7C5DA4E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0390</w:t>
            </w:r>
          </w:p>
        </w:tc>
        <w:tc>
          <w:tcPr>
            <w:tcW w:w="6946" w:type="dxa"/>
            <w:shd w:val="clear" w:color="auto" w:fill="auto"/>
          </w:tcPr>
          <w:p w14:paraId="56190725" w14:textId="4F86435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1.1.5.8. οφειλόμενη εξασφάλιση</w:t>
            </w:r>
          </w:p>
          <w:p w14:paraId="7C9ADD87" w14:textId="23ED04EB"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Άρθρο 30 παράγραφος 6 στοιχείο β) του κατ’ εξουσιοδότηση κανονισμού (ΕΕ) 2015/61</w:t>
            </w:r>
          </w:p>
          <w:p w14:paraId="6FF955AB"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Τα πιστωτικά ιδρύματα αναφέρουν την αγοραία αξία της εξασφάλισης που πρέπει να παραδοθεί σε αντισυμβαλλόμενο εντός 30 ημερολογιακών ημερών.</w:t>
            </w:r>
          </w:p>
        </w:tc>
      </w:tr>
      <w:tr w:rsidR="00B47B7D" w:rsidRPr="000B6B22" w14:paraId="35BA0A86" w14:textId="77777777" w:rsidTr="00454544">
        <w:tc>
          <w:tcPr>
            <w:tcW w:w="1457" w:type="dxa"/>
            <w:shd w:val="clear" w:color="auto" w:fill="auto"/>
            <w:vAlign w:val="center"/>
          </w:tcPr>
          <w:p w14:paraId="1D1E4236" w14:textId="4D97DBA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0400</w:t>
            </w:r>
          </w:p>
        </w:tc>
        <w:tc>
          <w:tcPr>
            <w:tcW w:w="6946" w:type="dxa"/>
            <w:shd w:val="clear" w:color="auto" w:fill="auto"/>
          </w:tcPr>
          <w:p w14:paraId="797298EE" w14:textId="6CD156B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1.1.5.9 εξασφαλίσεις ρευστών στοιχείων ενεργητικού ανταλλάξιμες με εξασφαλίσεις μη ρευστών στοιχείων ενεργητικού</w:t>
            </w:r>
          </w:p>
          <w:p w14:paraId="11F3C8ED" w14:textId="4A70C20C"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Άρθρο 30 παράγραφος 6 στοιχείο γ) του κατ’ εξουσιοδότηση κανονισμού (ΕΕ) 2015/61</w:t>
            </w:r>
          </w:p>
          <w:p w14:paraId="6E3D0371"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 xml:space="preserve">Τα πιστωτικά ιδρύματα αναφέρουν την αγοραία αξία της εξασφάλισης που θα μπορούσε να θεωρηθεί για τους σκοπούς του τίτλου II ότι συνίσταται σε ρευστά στοιχεία ενεργητικού, τα οποία μπορούν να αντικαταστήσουν στοιχεία ενεργητικού που αντιστοιχούν σε στοιχεία τα οποία δεν θα μπορούσαν να θεωρηθούν ρευστά στοιχεία ενεργητικού για τους σκοπούς του τίτλου II χωρίς τη </w:t>
            </w:r>
            <w:r>
              <w:rPr>
                <w:rFonts w:ascii="Times New Roman" w:hAnsi="Times New Roman"/>
                <w:sz w:val="24"/>
              </w:rPr>
              <w:lastRenderedPageBreak/>
              <w:t>συγκατάθεση του ιδρύματος.</w:t>
            </w:r>
          </w:p>
        </w:tc>
      </w:tr>
      <w:tr w:rsidR="00B47B7D" w:rsidRPr="000B6B22" w14:paraId="61E65FD8" w14:textId="77777777" w:rsidTr="00454544">
        <w:tc>
          <w:tcPr>
            <w:tcW w:w="1457" w:type="dxa"/>
            <w:shd w:val="clear" w:color="auto" w:fill="auto"/>
            <w:vAlign w:val="center"/>
          </w:tcPr>
          <w:p w14:paraId="3D3295EA" w14:textId="2CCD1478"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0410</w:t>
            </w:r>
          </w:p>
        </w:tc>
        <w:tc>
          <w:tcPr>
            <w:tcW w:w="6946" w:type="dxa"/>
            <w:shd w:val="clear" w:color="auto" w:fill="auto"/>
          </w:tcPr>
          <w:p w14:paraId="2742FE6E" w14:textId="35F9621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1.1.5.10. απώλεια χρηματοδότησης για δραστηριότητες διαρθρωμένης χρηματοδότησης</w:t>
            </w:r>
          </w:p>
          <w:p w14:paraId="171E60DA" w14:textId="62D130D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Άρθρο 30 παράγραφοι 8 έως 10 του κατ’ εξουσιοδότηση κανονισμού (ΕΕ) 2015/61</w:t>
            </w:r>
          </w:p>
          <w:p w14:paraId="6A1E405A" w14:textId="77777777"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Τα πιστωτικά ιδρύματα λαμβάνουν ως παραδοχή εκροή ύψους 100 % για απώλεια χρηματοδοτήσεων για τίτλους από τιτλοποίηση, καλυμμένα ομόλογα και άλλα δομημένα μέσα χρηματοδότησης που λήγουν εντός 30 ημερολογιακών ημερών, όταν τα μέσα αυτά εκδίδονται από το ίδιο το πιστωτικό ίδρυμα ή από ενδιάμεσους φορείς ή φορείς ειδικού σκοπού που επιχορηγούνται από το πιστωτικό ίδρυμα.</w:t>
            </w:r>
          </w:p>
          <w:p w14:paraId="48258183" w14:textId="77777777"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Τα πιστωτικά ιδρύματα που είναι πάροχοι διευκολύνσεων ρευστότητας συναφών με προγράμματα χρηματοδότησης που αναφέρονται εδώ μπορούν να αποφύγουν τον διπλό υπολογισμό των μέσων χρηματοδότησης που λήγουν και της διευκόλυνσης ρευστότητας για ενοποιημένα προγράμματα.</w:t>
            </w:r>
          </w:p>
        </w:tc>
      </w:tr>
      <w:tr w:rsidR="00B47B7D" w:rsidRPr="000B6B22" w14:paraId="56B00F97" w14:textId="77777777" w:rsidTr="00454544">
        <w:tc>
          <w:tcPr>
            <w:tcW w:w="1457" w:type="dxa"/>
            <w:shd w:val="clear" w:color="auto" w:fill="auto"/>
            <w:vAlign w:val="center"/>
          </w:tcPr>
          <w:p w14:paraId="5DF7D8D4" w14:textId="529B52A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0420</w:t>
            </w:r>
          </w:p>
        </w:tc>
        <w:tc>
          <w:tcPr>
            <w:tcW w:w="6946" w:type="dxa"/>
            <w:shd w:val="clear" w:color="auto" w:fill="auto"/>
          </w:tcPr>
          <w:p w14:paraId="05EFE9D4" w14:textId="3B3590B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1.1.5.10.1. δομημένα μέσα χρηματοδότησης</w:t>
            </w:r>
          </w:p>
          <w:p w14:paraId="30DC7A94" w14:textId="0E4B397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Άρθρο 30 παράγραφος 8 του κατ’ εξουσιοδότηση κανονισμού (ΕΕ) 2015/61</w:t>
            </w:r>
          </w:p>
          <w:p w14:paraId="532F3FD1"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Τα πιστωτικά ιδρύματα αναφέρουν το τρέχον υπόλοιπο των ιδίων υποχρεώσεων ή υποχρεώσεων των χρηματοδοτούμενων ενδιάμεσων φορέων ή φορέων ειδικού σκοπού από τίτλους προερχόμενους από τιτλοποίηση, καλυμμένα ομόλογα και άλλα δομημένα μέσα χρηματοδότησης που λήγουν εντός 30 ημερολογιακών ημερών.</w:t>
            </w:r>
          </w:p>
        </w:tc>
      </w:tr>
      <w:tr w:rsidR="00B47B7D" w:rsidRPr="000B6B22" w14:paraId="3BFBECD5" w14:textId="77777777" w:rsidTr="00454544">
        <w:tc>
          <w:tcPr>
            <w:tcW w:w="1457" w:type="dxa"/>
            <w:shd w:val="clear" w:color="auto" w:fill="auto"/>
            <w:vAlign w:val="center"/>
          </w:tcPr>
          <w:p w14:paraId="3B52E574" w14:textId="1088DCDC" w:rsidR="006E48EA" w:rsidRPr="000B6B22" w:rsidRDefault="009A505A" w:rsidP="009D4EFF">
            <w:pPr>
              <w:pStyle w:val="TableParagraph"/>
              <w:spacing w:after="120"/>
              <w:ind w:left="102"/>
              <w:jc w:val="both"/>
              <w:rPr>
                <w:rFonts w:ascii="Times New Roman" w:eastAsia="Verdana" w:hAnsi="Times New Roman"/>
                <w:sz w:val="24"/>
                <w:szCs w:val="24"/>
              </w:rPr>
            </w:pPr>
            <w:r>
              <w:rPr>
                <w:rFonts w:ascii="Times New Roman" w:hAnsi="Times New Roman"/>
                <w:sz w:val="24"/>
              </w:rPr>
              <w:t>0430</w:t>
            </w:r>
          </w:p>
        </w:tc>
        <w:tc>
          <w:tcPr>
            <w:tcW w:w="6946" w:type="dxa"/>
            <w:shd w:val="clear" w:color="auto" w:fill="auto"/>
          </w:tcPr>
          <w:p w14:paraId="12FA17A9" w14:textId="10FE377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1.1.5.10.2. χρηματοδοτικές διευκολύνσεις</w:t>
            </w:r>
          </w:p>
          <w:p w14:paraId="52D1504C" w14:textId="6FA1419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Άρθρο 30 παράγραφος 9 του κατ’ εξουσιοδότηση κανονισμού (ΕΕ) 2015/61</w:t>
            </w:r>
          </w:p>
          <w:p w14:paraId="430264FA" w14:textId="77777777" w:rsidR="006E48EA" w:rsidRPr="00301219" w:rsidRDefault="006E48EA">
            <w:pPr>
              <w:pStyle w:val="TableParagraph"/>
              <w:spacing w:after="120"/>
              <w:jc w:val="both"/>
              <w:rPr>
                <w:rFonts w:ascii="Times New Roman" w:eastAsia="Times New Roman" w:hAnsi="Times New Roman"/>
                <w:sz w:val="24"/>
                <w:szCs w:val="24"/>
              </w:rPr>
            </w:pPr>
          </w:p>
          <w:p w14:paraId="4DE89DD7" w14:textId="50363D3A"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Τα πιστωτικά ιδρύματα αναφέρουν το ποσό των υποχρεώσεων κατά τη λήξη από εμπορικά χρεόγραφα προερχόμενα από τιτλοποίηση, ενδιάμεσους φορείς, επενδυτικούς φορείς στον τομέα των κινητών αξιών και άλλες παρόμοιες χρηματοδοτικές διευκολύνσεις, εφόσον δεν εμπίπτουν στο πεδίο εφαρμογής των μέσων που ορίζονται στο σημείο 1.1.5.10.1, ή το ποσό των στοιχείων ενεργητικού που θα μπορούσαν δυνητικά να επιστραφούν ή την απαιτούμενη ρευστότητα στο πεδίο εφαρμογής των εν λόγω μέσων.</w:t>
            </w:r>
          </w:p>
          <w:p w14:paraId="1386F89A" w14:textId="00747166"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 xml:space="preserve">Κάθε χρηματοδότηση για εμπορικά χρεόγραφα προερχόμενα από τιτλοποίηση, ενδιάμεσους φορείς, επενδυτικούς φορείς στον τομέα των κινητών αξιών και άλλες παρόμοιες χρηματοδοτικές διευκολύνσεις που λήγουν ή πρέπει να επιστραφούν εντός 30 ημερών. Τα πιστωτικά ιδρύματα που διαθέτουν δομημένες χρηματοδοτικές διευκολύνσεις οι οποίες περιλαμβάνουν την έκδοση βραχυπρόθεσμων χρεωστικών τίτλων, όπως εμπορικά χρεόγραφα από τιτλοποίηση, αναφέρουν τις πιθανές εκροές ρευστότητας από τα </w:t>
            </w:r>
            <w:r>
              <w:rPr>
                <w:rFonts w:ascii="Times New Roman" w:hAnsi="Times New Roman"/>
                <w:sz w:val="24"/>
              </w:rPr>
              <w:lastRenderedPageBreak/>
              <w:t>εν λόγω μέσα. Αυτές περιλαμβάνουν, αλλά δεν περιορίζονται σε αυτές, i) την αδυναμία αναχρηματοδότησης του χρέους που λήγει, και ii) την ύπαρξη παραγώγων ή εξομοιούμενων στοιχείων που έχουν εγγραφεί σε συμβατικά έγγραφα σχετικά με τη διάρθρωση που είτε επιτρέπει μια ρήτρα «επιστροφής» στοιχείων ενεργητικού σε συμφωνία χρηματοδότησης, είτε απαιτεί την παροχή ρευστότητας από τον αρχικό μεταβιβάζοντα του στοιχείου ενεργητικού, τερματίζοντας τη συμφωνία χρηματοδότησης («liquidity puts») εντός της περιόδου των 30 ημερών. Όταν οι δραστηριότητες δομημένης χρηματοδότησης ασκούνται μέσω οντότητας ειδικού σκοπού (όπως οι φορείς ειδικού σκοπού, οι ενδιάμεσοι φορείς ή τα δομημένα επενδυτικά οχήματα), το πιστωτικό ίδρυμα, κατά τον καθορισμό των απαιτήσεων για τα υψηλής ποιότητας ρευστά στοιχεία ενεργητικού (HQLA), εξετάζει τη διάρκεια των χρεωστικών τίτλων που εκδίδονται από την οικονομική οντότητα και τυχόν ενσωματωμένα δικαιώματα προαίρεσης σε χρηματοδοτικές ρυθμίσεις που θα ενεργοποιούσαν ενδεχομένως την «επιστροφή» στοιχείων ενεργητικού ή την ανάγκη για ρευστότητα, ανεξάρτητα από το κατά πόσον ο φορέας ειδικού σκοπού είναι ενοποιημένος.</w:t>
            </w:r>
          </w:p>
        </w:tc>
      </w:tr>
      <w:tr w:rsidR="00B47B7D" w:rsidRPr="000B6B22" w14:paraId="08758EFB" w14:textId="77777777" w:rsidTr="00454544">
        <w:tc>
          <w:tcPr>
            <w:tcW w:w="1457" w:type="dxa"/>
            <w:shd w:val="clear" w:color="auto" w:fill="auto"/>
            <w:vAlign w:val="center"/>
          </w:tcPr>
          <w:p w14:paraId="4B14B167" w14:textId="45BCB5B3"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0450</w:t>
            </w:r>
          </w:p>
        </w:tc>
        <w:tc>
          <w:tcPr>
            <w:tcW w:w="6946" w:type="dxa"/>
            <w:shd w:val="clear" w:color="auto" w:fill="auto"/>
          </w:tcPr>
          <w:p w14:paraId="73E69D99" w14:textId="37BBD81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1.1.5.11. εσωτερικός συμψηφισμός θέσεων πελάτη</w:t>
            </w:r>
          </w:p>
          <w:p w14:paraId="2F01C9FB" w14:textId="185EE14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Άρθρο 30 παράγραφος 12 του κατ’ εξουσιοδότηση κανονισμού (ΕΕ) 2015/61</w:t>
            </w:r>
          </w:p>
          <w:p w14:paraId="28DEDA9D" w14:textId="4BD7A90B"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Τα πιστωτικά ιδρύματα αναφέρουν εδώ την αγοραία αξία των μη ρευστών στοιχείων ενεργητικού του πελάτη τα οποία, σε σχέση με υπηρεσίες βασικής μεσολάβησης, το πιστωτικό ίδρυμα έχει χρησιμοποιήσει για να καλύψει τις ανοικτές πωλήσεις ενός άλλου πελάτη με εσωτερική αντιστοίχισή τους.</w:t>
            </w:r>
          </w:p>
        </w:tc>
      </w:tr>
      <w:tr w:rsidR="00B47B7D" w:rsidRPr="000B6B22" w14:paraId="676A7B4C" w14:textId="77777777" w:rsidTr="00454544">
        <w:tc>
          <w:tcPr>
            <w:tcW w:w="1457" w:type="dxa"/>
            <w:shd w:val="clear" w:color="auto" w:fill="auto"/>
            <w:vAlign w:val="center"/>
          </w:tcPr>
          <w:p w14:paraId="20FAF3C6" w14:textId="208DB09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0460</w:t>
            </w:r>
          </w:p>
        </w:tc>
        <w:tc>
          <w:tcPr>
            <w:tcW w:w="6946" w:type="dxa"/>
            <w:shd w:val="clear" w:color="auto" w:fill="auto"/>
          </w:tcPr>
          <w:p w14:paraId="3E57CF6F" w14:textId="7AADE27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 δεσμευμένες διευκολύνσεις</w:t>
            </w:r>
          </w:p>
          <w:p w14:paraId="098BD740" w14:textId="0AF43D8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Άρθρο 31 του κατ’ εξουσιοδότηση κανονισμού (ΕΕ) 2015/61</w:t>
            </w:r>
          </w:p>
          <w:p w14:paraId="64B939C7" w14:textId="4865ED69"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Τα πιστωτικά ιδρύματα αναφέρουν εδώ τις εκροές όπως ορίζονται στο άρθρο 31 του κατ’ εξουσιοδότηση κανονισμού (ΕΕ) 2015/61.</w:t>
            </w:r>
          </w:p>
          <w:p w14:paraId="2DB68355" w14:textId="402F5B06"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sz w:val="24"/>
              </w:rPr>
              <w:t>Τα πιστωτικά ιδρύματα αναφέρουν επίσης εδώ τις δεσμευμένες διευκολύνσεις σύμφωνα με το άρθρο 29 του κατ’ εξουσιοδότηση κανονισμού (ΕΕ) 2015/61.</w:t>
            </w:r>
          </w:p>
          <w:p w14:paraId="1BF0293B" w14:textId="73C3D84F"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Το ανώτατο ποσό που μπορεί να εκταμιευθεί υπολογίζεται σύμφωνα με το άρθρο 31 παράγραφος 2 του κατ’ εξουσιοδότηση κανονισμού (ΕΕ) 2015/61.</w:t>
            </w:r>
          </w:p>
        </w:tc>
      </w:tr>
      <w:tr w:rsidR="00B47B7D" w:rsidRPr="000B6B22" w14:paraId="27D0ADAE" w14:textId="77777777" w:rsidTr="00454544">
        <w:tc>
          <w:tcPr>
            <w:tcW w:w="1457" w:type="dxa"/>
            <w:shd w:val="clear" w:color="auto" w:fill="auto"/>
            <w:vAlign w:val="center"/>
          </w:tcPr>
          <w:p w14:paraId="7B08FBA8" w14:textId="41979CC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0470</w:t>
            </w:r>
          </w:p>
        </w:tc>
        <w:tc>
          <w:tcPr>
            <w:tcW w:w="6946" w:type="dxa"/>
            <w:shd w:val="clear" w:color="auto" w:fill="auto"/>
          </w:tcPr>
          <w:p w14:paraId="210A120C" w14:textId="7BD6C5B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1.1.6.1. πιστωτικές διευκολύνσεις</w:t>
            </w:r>
          </w:p>
          <w:p w14:paraId="6970CF61" w14:textId="3B4E3474"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sz w:val="24"/>
              </w:rPr>
              <w:t>Τα πιστωτικά ιδρύματα αναφέρουν εδώ τις δεσμευμένες πιστωτικές διευκολύνσεις όπως ορίζονται στο άρθρο 31 παράγραφος 1 του κατ’ εξουσιοδότηση κανονισμού (ΕΕ) 2015/61.</w:t>
            </w:r>
          </w:p>
        </w:tc>
      </w:tr>
      <w:tr w:rsidR="00B47B7D" w:rsidRPr="000B6B22" w14:paraId="0A1CC952" w14:textId="77777777" w:rsidTr="00454544">
        <w:tc>
          <w:tcPr>
            <w:tcW w:w="1457" w:type="dxa"/>
            <w:shd w:val="clear" w:color="auto" w:fill="auto"/>
            <w:vAlign w:val="center"/>
          </w:tcPr>
          <w:p w14:paraId="0BA3C634" w14:textId="3651B92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0480</w:t>
            </w:r>
          </w:p>
        </w:tc>
        <w:tc>
          <w:tcPr>
            <w:tcW w:w="6946" w:type="dxa"/>
            <w:shd w:val="clear" w:color="auto" w:fill="auto"/>
          </w:tcPr>
          <w:p w14:paraId="43E279DD" w14:textId="796C553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1.1.6.1.1. σε πελάτες λιανικής</w:t>
            </w:r>
          </w:p>
          <w:p w14:paraId="1319E90D" w14:textId="0E2F151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Άρθρο 31 παράγραφος 3 του κατ’ εξουσιοδότηση κανονισμού (ΕΕ) 2015/61</w:t>
            </w:r>
          </w:p>
          <w:p w14:paraId="16A66FD4" w14:textId="2B7CF612"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 xml:space="preserve">Τα πιστωτικά ιδρύματα αναφέρουν το μέγιστο ποσό που μπορεί να </w:t>
            </w:r>
            <w:r>
              <w:rPr>
                <w:rFonts w:ascii="Times New Roman" w:hAnsi="Times New Roman"/>
                <w:sz w:val="24"/>
              </w:rPr>
              <w:lastRenderedPageBreak/>
              <w:t>αναληφθεί από μη αναληφθείσες δεσμευμένες πιστωτικές διευκολύνσεις σε πελάτες λιανικής, όπως ορίζεται στο άρθρο 411 παράγραφος 2 του κανονισμού (ΕΕ) αριθ. 575/2013.</w:t>
            </w:r>
          </w:p>
        </w:tc>
      </w:tr>
      <w:tr w:rsidR="00B47B7D" w:rsidRPr="000B6B22" w14:paraId="54210687" w14:textId="77777777" w:rsidTr="00454544">
        <w:tc>
          <w:tcPr>
            <w:tcW w:w="1457" w:type="dxa"/>
            <w:shd w:val="clear" w:color="auto" w:fill="auto"/>
            <w:vAlign w:val="center"/>
          </w:tcPr>
          <w:p w14:paraId="0D641633" w14:textId="31B8430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0490</w:t>
            </w:r>
          </w:p>
        </w:tc>
        <w:tc>
          <w:tcPr>
            <w:tcW w:w="6946" w:type="dxa"/>
            <w:shd w:val="clear" w:color="auto" w:fill="auto"/>
          </w:tcPr>
          <w:p w14:paraId="48EC8F2E" w14:textId="59592CA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1.1.6.1.2. σε μη χρηματοπιστωτικούς πελάτες εκτός από πελάτες λιανικής</w:t>
            </w:r>
          </w:p>
          <w:p w14:paraId="79834C5D" w14:textId="3F48242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Άρθρο 31 παράγραφος 4 του κατ’ εξουσιοδότηση κανονισμού (ΕΕ) 2015/61</w:t>
            </w:r>
          </w:p>
          <w:p w14:paraId="7D5229F8" w14:textId="2CC359C0"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Τα πιστωτικά ιδρύματα αναφέρουν το μέγιστο ποσό που μπορεί να αναληφθεί από μη αναληφθείσες δεσμευμένες πιστωτικές διευκολύνσεις σε πελάτες που δεν είναι ούτε χρηματοπιστωτικοί πελάτες, σύμφωνα με το άρθρο 411 παράγραφος 1 του κανονισμού (ΕΕ) αριθ. 575/2013, ούτε πελάτες λιανικής σύμφωνα με το άρθρο 411 παράγραφος 2 του κανονισμού (ΕΕ) αριθ. 575/2013, και οι οποίες δεν έχουν παρασχεθεί για να αντικαταστήσουν τη χρηματοδότηση του πελάτη σε περιπτώσεις που ο πελάτης δεν είναι σε θέση να ικανοποιήσει τις απαιτήσεις χρηματοδότησής του από τις χρηματοπιστωτικές αγορές.</w:t>
            </w:r>
          </w:p>
        </w:tc>
      </w:tr>
      <w:tr w:rsidR="00B47B7D" w:rsidRPr="000B6B22" w14:paraId="1247FA69" w14:textId="77777777" w:rsidTr="00454544">
        <w:tc>
          <w:tcPr>
            <w:tcW w:w="1457" w:type="dxa"/>
            <w:shd w:val="clear" w:color="auto" w:fill="auto"/>
            <w:vAlign w:val="center"/>
          </w:tcPr>
          <w:p w14:paraId="12045791" w14:textId="2924040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0500</w:t>
            </w:r>
          </w:p>
        </w:tc>
        <w:tc>
          <w:tcPr>
            <w:tcW w:w="6946" w:type="dxa"/>
            <w:shd w:val="clear" w:color="auto" w:fill="auto"/>
          </w:tcPr>
          <w:p w14:paraId="55161424" w14:textId="67DB2A3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1.1.6.1.3. σε πιστωτικά ιδρύματα</w:t>
            </w:r>
          </w:p>
          <w:p w14:paraId="2F60090D"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Τα πιστωτικά ιδρύματα αναφέρουν εδώ τις δεσμευμένες πιστωτικές διευκολύνσεις που παρέχονται σε πιστωτικά ιδρύματα.</w:t>
            </w:r>
          </w:p>
        </w:tc>
      </w:tr>
      <w:tr w:rsidR="00B47B7D" w:rsidRPr="000B6B22" w14:paraId="5163C000" w14:textId="77777777" w:rsidTr="00454544">
        <w:tc>
          <w:tcPr>
            <w:tcW w:w="1457" w:type="dxa"/>
            <w:shd w:val="clear" w:color="auto" w:fill="auto"/>
            <w:vAlign w:val="center"/>
          </w:tcPr>
          <w:p w14:paraId="6E5E5AF2" w14:textId="53485DCF"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0510</w:t>
            </w:r>
          </w:p>
        </w:tc>
        <w:tc>
          <w:tcPr>
            <w:tcW w:w="6946" w:type="dxa"/>
            <w:shd w:val="clear" w:color="auto" w:fill="auto"/>
          </w:tcPr>
          <w:p w14:paraId="3DE144C2" w14:textId="5DEF217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1.1.6.1.3.1. για τη χρηματοδότηση προνομιακών δανείων πελατών λιανικής</w:t>
            </w:r>
          </w:p>
          <w:p w14:paraId="536B353A" w14:textId="4DA02F5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Άρθρο 31 παράγραφος 9 του κατ’ εξουσιοδότηση κανονισμού (ΕΕ) 2015/61</w:t>
            </w:r>
          </w:p>
          <w:p w14:paraId="555954FA" w14:textId="5D56F27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Τα πιστωτικά ιδρύματα αναφέρουν το μέγιστο ποσό που μπορεί να αναληφθεί από μη αναληφθείσες δεσμευμένες πιστωτικές διευκολύνσεις που παρέχονται σε πιστωτικά ιδρύματα με αποκλειστικό σκοπό την άμεση ή έμμεση χρηματοδότηση προνομιακών δανείων που χαρακτηρίζονται ως ανοίγματα σε πελάτες σύμφωνα με το άρθρο 411 παράγραφος 2 του κανονισμού (ΕΕ) αριθ. 575/2013.</w:t>
            </w:r>
          </w:p>
          <w:p w14:paraId="1A9E9917"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Μόνο πιστωτικά ιδρύματα που έχουν συσταθεί και χρηματοδοτούνται από την κεντρική ή περιφερειακή κυβέρνηση τουλάχιστον ενός κράτους μέλους μπορούν να αναφέρουν αυτό το στοιχείο.</w:t>
            </w:r>
          </w:p>
        </w:tc>
      </w:tr>
      <w:tr w:rsidR="00B47B7D" w:rsidRPr="000B6B22" w14:paraId="41517278" w14:textId="77777777" w:rsidTr="00454544">
        <w:tc>
          <w:tcPr>
            <w:tcW w:w="1457" w:type="dxa"/>
            <w:shd w:val="clear" w:color="auto" w:fill="auto"/>
            <w:vAlign w:val="center"/>
          </w:tcPr>
          <w:p w14:paraId="7AC9A620" w14:textId="18E7693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0520</w:t>
            </w:r>
          </w:p>
        </w:tc>
        <w:tc>
          <w:tcPr>
            <w:tcW w:w="6946" w:type="dxa"/>
            <w:shd w:val="clear" w:color="auto" w:fill="auto"/>
          </w:tcPr>
          <w:p w14:paraId="3436E7E7" w14:textId="78A77BA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1.1.6.1.3.2. για τη χρηματοδότηση προνομιακών δανείων μη χρηματοπιστωτικών πελατών</w:t>
            </w:r>
          </w:p>
          <w:p w14:paraId="65C73485" w14:textId="70FA764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Άρθρο 31 παράγραφος 9 του κατ’ εξουσιοδότηση κανονισμού (ΕΕ) 2015/61</w:t>
            </w:r>
          </w:p>
          <w:p w14:paraId="1DC18650" w14:textId="31A37D7F"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 xml:space="preserve">Τα πιστωτικά ιδρύματα αναφέρουν το μέγιστο ποσό που μπορεί να αναληφθεί από μη αναληφθείσες δεσμευμένες πιστωτικές διευκολύνσεις που παρέχονται σε πιστωτικά ιδρύματα με αποκλειστικό σκοπό την άμεση ή έμμεση χρηματοδότηση προνομιακών δανείων που χαρακτηρίζονται ως ανοίγματα σε πελάτες οι οποίοι δεν είναι ούτε χρηματοπιστωτικοί πελάτες, σύμφωνα με το άρθρο 411 παράγραφος 1 του κανονισμού (ΕΕ) αριθ. 575/2013, ούτε </w:t>
            </w:r>
            <w:r>
              <w:rPr>
                <w:rFonts w:ascii="Times New Roman" w:hAnsi="Times New Roman"/>
                <w:sz w:val="24"/>
              </w:rPr>
              <w:lastRenderedPageBreak/>
              <w:t>πελάτες λιανικής σύμφωνα με το άρθρο 411 παράγραφος 2 του κανονισμού (ΕΕ) αριθ. 575/2013.</w:t>
            </w:r>
          </w:p>
          <w:p w14:paraId="570DA3CA"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Μόνο πιστωτικά ιδρύματα που έχουν συσταθεί και χρηματοδοτούνται από την κεντρική ή περιφερειακή κυβέρνηση τουλάχιστον ενός κράτους μέλους μπορούν να αναφέρουν αυτό το στοιχείο.</w:t>
            </w:r>
          </w:p>
        </w:tc>
      </w:tr>
      <w:tr w:rsidR="00B47B7D" w:rsidRPr="000B6B22" w14:paraId="69E2341D" w14:textId="77777777" w:rsidTr="00454544">
        <w:tc>
          <w:tcPr>
            <w:tcW w:w="1457" w:type="dxa"/>
            <w:shd w:val="clear" w:color="auto" w:fill="auto"/>
            <w:vAlign w:val="center"/>
          </w:tcPr>
          <w:p w14:paraId="6CA1499F" w14:textId="4671CEA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0530</w:t>
            </w:r>
          </w:p>
        </w:tc>
        <w:tc>
          <w:tcPr>
            <w:tcW w:w="6946" w:type="dxa"/>
            <w:shd w:val="clear" w:color="auto" w:fill="auto"/>
          </w:tcPr>
          <w:p w14:paraId="407D8F4E" w14:textId="355C55D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1.1.6.1.3.3. άλλες</w:t>
            </w:r>
          </w:p>
          <w:p w14:paraId="1FDE164A" w14:textId="591DDEF1"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rPr>
              <w:t>Άρθρο 31 παράγραφος 8 στοιχείο α) του κατ’ εξουσιοδότηση κανονισμού (ΕΕ) 2015/61</w:t>
            </w:r>
          </w:p>
          <w:p w14:paraId="62802A43"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Τα πιστωτικά ιδρύματα αναφέρουν το μέγιστο ποσό που μπορεί να αναληφθεί από μη αναληφθείσες δεσμευμένες πιστωτικές διευκολύνσεις παρεχόμενες σε άλλα πιστωτικά ιδρύματα εκτός από τα προαναφερθέντα.</w:t>
            </w:r>
          </w:p>
        </w:tc>
      </w:tr>
      <w:tr w:rsidR="00B47B7D" w:rsidRPr="000B6B22" w14:paraId="6E3A3C7C" w14:textId="77777777" w:rsidTr="00454544">
        <w:tc>
          <w:tcPr>
            <w:tcW w:w="1457" w:type="dxa"/>
            <w:shd w:val="clear" w:color="auto" w:fill="auto"/>
            <w:vAlign w:val="center"/>
          </w:tcPr>
          <w:p w14:paraId="25F62C55" w14:textId="177E1C0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0540</w:t>
            </w:r>
          </w:p>
        </w:tc>
        <w:tc>
          <w:tcPr>
            <w:tcW w:w="6946" w:type="dxa"/>
            <w:shd w:val="clear" w:color="auto" w:fill="auto"/>
          </w:tcPr>
          <w:p w14:paraId="1AC83037" w14:textId="32552FD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1.1.6.1.4. σε ρυθμιζόμενα χρηματοπιστωτικά ιδρύματα, εκτός από πιστωτικά ιδρύματα</w:t>
            </w:r>
          </w:p>
          <w:p w14:paraId="335971EE" w14:textId="6C5B23C9"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rPr>
              <w:t>Άρθρο 31 παράγραφος 8 στοιχείο α) του κατ’ εξουσιοδότηση κανονισμού (ΕΕ) 2015/61</w:t>
            </w:r>
          </w:p>
          <w:p w14:paraId="5841C548"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Τα πιστωτικά ιδρύματα αναφέρουν το μέγιστο ποσό που μπορεί να αναληφθεί από μη αναληφθείσες δεσμευμένες πιστωτικές διευκολύνσεις που παρέχονται σε ρυθμιζόμενα χρηματοπιστωτικά ιδρύματα, εξαιρουμένων των πιστωτικών ιδρυμάτων.</w:t>
            </w:r>
          </w:p>
        </w:tc>
      </w:tr>
      <w:tr w:rsidR="00B47B7D" w:rsidRPr="000B6B22" w14:paraId="32B933A0" w14:textId="77777777" w:rsidTr="00454544">
        <w:tc>
          <w:tcPr>
            <w:tcW w:w="1457" w:type="dxa"/>
            <w:shd w:val="clear" w:color="auto" w:fill="auto"/>
            <w:vAlign w:val="center"/>
          </w:tcPr>
          <w:p w14:paraId="4B2F5F60" w14:textId="5BD1D4D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0550</w:t>
            </w:r>
          </w:p>
        </w:tc>
        <w:tc>
          <w:tcPr>
            <w:tcW w:w="6946" w:type="dxa"/>
            <w:shd w:val="clear" w:color="auto" w:fill="auto"/>
          </w:tcPr>
          <w:p w14:paraId="62B99099" w14:textId="0918D05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1.1.6.1.5. εντός ομίλου ή ΘΣΠ, εφόσον υπόκεινται σε προτιμησιακό καθεστώς</w:t>
            </w:r>
          </w:p>
          <w:p w14:paraId="3B0CCBDF" w14:textId="56947EE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Άρθρο 29 του κατ’ εξουσιοδότηση κανονισμού (ΕΕ) 2015/61</w:t>
            </w:r>
          </w:p>
          <w:p w14:paraId="1B15E9DB" w14:textId="19D60F69"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Τα πιστωτικά ιδρύματα αναφέρουν το μέγιστο ποσό που μπορεί να αναληφθεί από μη αναληφθείσες δεσμευμένες πιστωτικές διευκολύνσεις για τις οποίες έχουν λάβει άδεια εφαρμογής χαμηλότερου ποσοστού εκροής σύμφωνα με το άρθρο 29 του κατ’ εξουσιοδότηση κανονισμού (ΕΕ) 2015/61.</w:t>
            </w:r>
          </w:p>
        </w:tc>
      </w:tr>
      <w:tr w:rsidR="00B47B7D" w:rsidRPr="000B6B22" w14:paraId="4F1685FD" w14:textId="77777777" w:rsidTr="00454544">
        <w:tc>
          <w:tcPr>
            <w:tcW w:w="1457" w:type="dxa"/>
            <w:shd w:val="clear" w:color="auto" w:fill="auto"/>
            <w:vAlign w:val="center"/>
          </w:tcPr>
          <w:p w14:paraId="05FE5C64" w14:textId="7E61145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0560</w:t>
            </w:r>
          </w:p>
        </w:tc>
        <w:tc>
          <w:tcPr>
            <w:tcW w:w="6946" w:type="dxa"/>
            <w:shd w:val="clear" w:color="auto" w:fill="auto"/>
          </w:tcPr>
          <w:p w14:paraId="34352FBB" w14:textId="17FDDB99" w:rsidR="006E48EA" w:rsidRPr="000B6B22" w:rsidRDefault="006E48EA" w:rsidP="009D4EFF">
            <w:pPr>
              <w:pStyle w:val="TableParagraph"/>
              <w:spacing w:after="120"/>
              <w:ind w:right="99"/>
              <w:jc w:val="both"/>
              <w:rPr>
                <w:rFonts w:ascii="Times New Roman" w:hAnsi="Times New Roman"/>
                <w:b/>
                <w:sz w:val="24"/>
                <w:szCs w:val="24"/>
                <w:u w:color="000000"/>
              </w:rPr>
            </w:pPr>
            <w:r>
              <w:rPr>
                <w:rFonts w:ascii="Times New Roman" w:hAnsi="Times New Roman"/>
                <w:b/>
                <w:sz w:val="24"/>
              </w:rPr>
              <w:t>1.1.6.1.6. εντός ΘΣΠ ή συνεταιριστικού δικτύου, εφόσον αντιμετωπίζονται ως ρευστά στοιχεία ενεργητικού από το ίδρυμα που πραγματοποιεί την κατάθεση</w:t>
            </w:r>
          </w:p>
          <w:p w14:paraId="5BE5EF5C" w14:textId="4419E34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Άρθρο 31 παράγραφος 7 του κατ’ εξουσιοδότηση κανονισμού (ΕΕ) 2015/61</w:t>
            </w:r>
          </w:p>
          <w:p w14:paraId="24759D0B" w14:textId="2705B06C"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Τα κεντρικά ιδρύματα ενός συστήματος ή δικτύου που αναφέρεται στο άρθρο 16 αναφέρουν το μέγιστο ποσό που μπορεί να αναληφθεί από μη αναληφθείσες δεσμευμένες πιστωτικές διευκολύνσεις σε πιστωτικό ίδρυμα-μέλος, εφόσον το εν λόγω πιστωτικό ίδρυμα-μέλος μεταχειρίζεται τη διευκόλυνση ως ρευστό στοιχείο ενεργητικού, σύμφωνα με το άρθρο 16 παράγραφος 2 του ίδιου κατ’ εξουσιοδότηση κανονισμού.</w:t>
            </w:r>
          </w:p>
        </w:tc>
      </w:tr>
      <w:tr w:rsidR="00B47B7D" w:rsidRPr="000B6B22" w14:paraId="1A88F56F" w14:textId="77777777" w:rsidTr="00454544">
        <w:tc>
          <w:tcPr>
            <w:tcW w:w="1457" w:type="dxa"/>
            <w:shd w:val="clear" w:color="auto" w:fill="auto"/>
            <w:vAlign w:val="center"/>
          </w:tcPr>
          <w:p w14:paraId="2E1F1054" w14:textId="4AF9FC6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0570</w:t>
            </w:r>
          </w:p>
        </w:tc>
        <w:tc>
          <w:tcPr>
            <w:tcW w:w="6946" w:type="dxa"/>
            <w:shd w:val="clear" w:color="auto" w:fill="auto"/>
          </w:tcPr>
          <w:p w14:paraId="4F933013" w14:textId="00DE3A5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1.1.6.1.7. σε άλλους χρηματοπιστωτικούς πελάτες</w:t>
            </w:r>
          </w:p>
          <w:p w14:paraId="3A019C6B" w14:textId="7A9197BA"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rPr>
              <w:t>Άρθρο 31 παράγραφος 8 στοιχείο γ) του κατ’ εξουσιοδότηση κανονισμού (ΕΕ) 2015/61</w:t>
            </w:r>
          </w:p>
          <w:p w14:paraId="5E486649" w14:textId="77777777"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lastRenderedPageBreak/>
              <w:t>Τα πιστωτικά ιδρύματα αναφέρουν το μέγιστο ποσό που μπορεί να αναληφθεί από μη αναληφθείσες δεσμευμένες πιστωτικές διευκολύνσεις, εκτός από εκείνες που αναφέρονται ανωτέρω σε άλλους χρηματοπιστωτικούς πελάτες.</w:t>
            </w:r>
          </w:p>
        </w:tc>
      </w:tr>
      <w:tr w:rsidR="00B47B7D" w:rsidRPr="000B6B22" w14:paraId="5D70BFD7" w14:textId="77777777" w:rsidTr="00454544">
        <w:tc>
          <w:tcPr>
            <w:tcW w:w="1457" w:type="dxa"/>
            <w:shd w:val="clear" w:color="auto" w:fill="auto"/>
            <w:vAlign w:val="center"/>
          </w:tcPr>
          <w:p w14:paraId="133C60EB" w14:textId="2FDE913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0580</w:t>
            </w:r>
          </w:p>
        </w:tc>
        <w:tc>
          <w:tcPr>
            <w:tcW w:w="6946" w:type="dxa"/>
            <w:shd w:val="clear" w:color="auto" w:fill="auto"/>
          </w:tcPr>
          <w:p w14:paraId="675EE411" w14:textId="68704F6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1.1.6.2. διευκολύνσεις ρευστότητας</w:t>
            </w:r>
          </w:p>
          <w:p w14:paraId="127539E1" w14:textId="3E76B28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Άρθρο 31 παράγραφος 1 του κατ’ εξουσιοδότηση κανονισμού (ΕΕ) 2015/61</w:t>
            </w:r>
          </w:p>
          <w:p w14:paraId="6FB0671D" w14:textId="6AABDDE6"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Τα πιστωτικά ιδρύματα αναφέρουν εδώ τις δεσμευμένες διευκολύνσεις ρευστότητας όπως ορίζονται στο άρθρο 31 παράγραφος 1 του κατ’ εξουσιοδότηση κανονισμού (ΕΕ) 2015/61.</w:t>
            </w:r>
          </w:p>
        </w:tc>
      </w:tr>
      <w:tr w:rsidR="00B47B7D" w:rsidRPr="000B6B22" w14:paraId="20BC91E0" w14:textId="77777777" w:rsidTr="00454544">
        <w:tc>
          <w:tcPr>
            <w:tcW w:w="1457" w:type="dxa"/>
            <w:shd w:val="clear" w:color="auto" w:fill="auto"/>
            <w:vAlign w:val="center"/>
          </w:tcPr>
          <w:p w14:paraId="497C8222" w14:textId="3D12384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0590</w:t>
            </w:r>
          </w:p>
        </w:tc>
        <w:tc>
          <w:tcPr>
            <w:tcW w:w="6946" w:type="dxa"/>
            <w:shd w:val="clear" w:color="auto" w:fill="auto"/>
          </w:tcPr>
          <w:p w14:paraId="35D9D5A4" w14:textId="37A306A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1.1.6.2.1. σε πελάτες λιανικής</w:t>
            </w:r>
          </w:p>
          <w:p w14:paraId="07D13737" w14:textId="154426A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Άρθρο 31 παράγραφος 3 του κατ’ εξουσιοδότηση κανονισμού (ΕΕ) 2015/61</w:t>
            </w:r>
          </w:p>
          <w:p w14:paraId="2FFD3A91" w14:textId="681234F2"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Τα πιστωτικά ιδρύματα αναφέρουν το μέγιστο ποσό που μπορεί να αναληφθεί από μη αναληφθείσες δεσμευμένες διευκολύνσεις ρευστότητας σε πελάτες λιανικής, όπως ορίζεται στο άρθρο 411 παράγραφος 2 του κανονισμού (ΕΕ) αριθ. 575/2013.</w:t>
            </w:r>
          </w:p>
        </w:tc>
      </w:tr>
      <w:tr w:rsidR="00B47B7D" w:rsidRPr="000B6B22" w14:paraId="4FAF3A32" w14:textId="77777777" w:rsidTr="00454544">
        <w:tc>
          <w:tcPr>
            <w:tcW w:w="1457" w:type="dxa"/>
            <w:shd w:val="clear" w:color="auto" w:fill="auto"/>
            <w:vAlign w:val="center"/>
          </w:tcPr>
          <w:p w14:paraId="7D3509A3" w14:textId="6A35278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0600</w:t>
            </w:r>
          </w:p>
        </w:tc>
        <w:tc>
          <w:tcPr>
            <w:tcW w:w="6946" w:type="dxa"/>
            <w:shd w:val="clear" w:color="auto" w:fill="auto"/>
          </w:tcPr>
          <w:p w14:paraId="32EEB75D" w14:textId="0B13ADE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1.1.6.2.2. σε μη χρηματοπιστωτικούς πελάτες εκτός από πελάτες λιανικής</w:t>
            </w:r>
          </w:p>
          <w:p w14:paraId="2DBDA826" w14:textId="0D17850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Άρθρο 31 παράγραφος 5 του κατ’ εξουσιοδότηση κανονισμού (ΕΕ) 2015/61</w:t>
            </w:r>
          </w:p>
          <w:p w14:paraId="759AD376" w14:textId="3B34614F"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Τα πιστωτικά ιδρύματα αναφέρουν το μέγιστο ποσό που μπορεί να αναληφθεί από μη αναληφθείσες δεσμευμένες διευκολύνσεις ρευστότητας σε πελάτες οι οποίοι δεν είναι ούτε χρηματοπιστωτικοί πελάτες σύμφωνα με το άρθρο 411 παράγραφος 1 του κανονισμού (ΕΕ) αριθ. 575/2013 ούτε πελάτες λιανικής σύμφωνα με το άρθρο 411 παράγραφος 2 του κανονισμού (ΕΕ) αριθ. 575/2013.</w:t>
            </w:r>
          </w:p>
        </w:tc>
      </w:tr>
      <w:tr w:rsidR="00B47B7D" w:rsidRPr="000B6B22" w14:paraId="7A42D5DF" w14:textId="77777777" w:rsidTr="00454544">
        <w:tc>
          <w:tcPr>
            <w:tcW w:w="1457" w:type="dxa"/>
            <w:shd w:val="clear" w:color="auto" w:fill="auto"/>
            <w:vAlign w:val="center"/>
          </w:tcPr>
          <w:p w14:paraId="10587266" w14:textId="73FDBAC4"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0610</w:t>
            </w:r>
          </w:p>
        </w:tc>
        <w:tc>
          <w:tcPr>
            <w:tcW w:w="6946" w:type="dxa"/>
            <w:shd w:val="clear" w:color="auto" w:fill="auto"/>
          </w:tcPr>
          <w:p w14:paraId="4C0FD86A" w14:textId="43785C8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1.1.6.2.3. σε προσωπικές εταιρείες επενδύσεων</w:t>
            </w:r>
          </w:p>
          <w:p w14:paraId="4A2779D7" w14:textId="7385D77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Άρθρο 31 παράγραφος 5 του κατ’ εξουσιοδότηση κανονισμού (ΕΕ) 2015/61</w:t>
            </w:r>
          </w:p>
          <w:p w14:paraId="522F43A4" w14:textId="77777777"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rPr>
              <w:t>Τα πιστωτικά ιδρύματα αναφέρουν το μέγιστο ποσό που μπορεί να αναληφθεί από μη αναληφθείσες δεσμευμένες διευκολύνσεις ρευστότητας παρεχόμενες σε ιδιωτικές εταιρείες επενδύσεων.</w:t>
            </w:r>
          </w:p>
        </w:tc>
      </w:tr>
      <w:tr w:rsidR="00B47B7D" w:rsidRPr="000B6B22" w14:paraId="3B563241" w14:textId="77777777" w:rsidTr="00454544">
        <w:tc>
          <w:tcPr>
            <w:tcW w:w="1457" w:type="dxa"/>
            <w:shd w:val="clear" w:color="auto" w:fill="auto"/>
            <w:vAlign w:val="center"/>
          </w:tcPr>
          <w:p w14:paraId="7113D068" w14:textId="33471EC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0620</w:t>
            </w:r>
          </w:p>
        </w:tc>
        <w:tc>
          <w:tcPr>
            <w:tcW w:w="6946" w:type="dxa"/>
            <w:shd w:val="clear" w:color="auto" w:fill="auto"/>
          </w:tcPr>
          <w:p w14:paraId="4B9788E1" w14:textId="7B8253EC" w:rsidR="006E48EA" w:rsidRPr="000B6B22" w:rsidRDefault="006E48EA" w:rsidP="009D4EFF">
            <w:pPr>
              <w:pStyle w:val="TableParagraph"/>
              <w:spacing w:after="120"/>
              <w:jc w:val="both"/>
              <w:rPr>
                <w:rFonts w:ascii="Times New Roman" w:hAnsi="Times New Roman"/>
                <w:b/>
                <w:sz w:val="24"/>
                <w:szCs w:val="24"/>
                <w:u w:color="000000"/>
              </w:rPr>
            </w:pPr>
            <w:r>
              <w:rPr>
                <w:rFonts w:ascii="Times New Roman" w:hAnsi="Times New Roman"/>
                <w:b/>
                <w:sz w:val="24"/>
                <w:u w:color="000000"/>
              </w:rPr>
              <w:t>1.1.6.2.4. σε ΟΕΣΤ (οντότητες ειδικού σκοπού για τιτλοποίηση)</w:t>
            </w:r>
          </w:p>
          <w:p w14:paraId="17C9FF5C"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Τα πιστωτικά ιδρύματα αναφέρουν εδώ τις δεσμευμένες διευκολύνσεις ρευστότητας που παρέχονται σε ΟΕΣΤ.</w:t>
            </w:r>
          </w:p>
        </w:tc>
      </w:tr>
      <w:tr w:rsidR="00B47B7D" w:rsidRPr="000B6B22" w14:paraId="7B3A52C9" w14:textId="77777777" w:rsidTr="00454544">
        <w:tc>
          <w:tcPr>
            <w:tcW w:w="1457" w:type="dxa"/>
            <w:shd w:val="clear" w:color="auto" w:fill="auto"/>
            <w:vAlign w:val="center"/>
          </w:tcPr>
          <w:p w14:paraId="74D2CC8A"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630</w:t>
            </w:r>
          </w:p>
        </w:tc>
        <w:tc>
          <w:tcPr>
            <w:tcW w:w="6946" w:type="dxa"/>
            <w:shd w:val="clear" w:color="auto" w:fill="auto"/>
          </w:tcPr>
          <w:p w14:paraId="02624CED" w14:textId="51DA7D5E"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rPr>
              <w:t>1.1.6.2.4.1. για την αγορά στοιχείων ενεργητικού εκτός από τίτλους από μη χρηματοπιστωτικούς πελάτες</w:t>
            </w:r>
          </w:p>
          <w:p w14:paraId="464340CC" w14:textId="70A90C4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Άρθρο 31 παράγραφος 6 του κατ’ εξουσιοδότηση κανονισμού (ΕΕ) 2015/61</w:t>
            </w:r>
          </w:p>
          <w:p w14:paraId="7B8D6A77" w14:textId="722F03E7"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 xml:space="preserve">Τα πιστωτικά ιδρύματα αναφέρουν το μέγιστο ποσό των μη αναληφθεισών δεσμευμένων διευκολύνσεων ρευστότητας που παρέχονται σε ΟΕΣΤ για να είναι σε θέση η εν λόγω ΟΕΣΤ να </w:t>
            </w:r>
            <w:r>
              <w:rPr>
                <w:rFonts w:ascii="Times New Roman" w:hAnsi="Times New Roman"/>
                <w:sz w:val="24"/>
              </w:rPr>
              <w:lastRenderedPageBreak/>
              <w:t>αγοράσει στοιχεία ενεργητικού πλην τίτλων από πελάτες που δεν είναι χρηματοπιστωτικοί πελάτες, στο μέτρο που υπερβαίνει το ποσό των συγκεκριμένων στοιχείων ενεργητικού που έχουν αγοραστεί από πελάτες και εφόσον το μέγιστο ποσό που μπορεί να αναληφθεί περιορίζεται βάσει σύμβασης στο ποσό των αγοραζόμενων στοιχείων ενεργητικού.</w:t>
            </w:r>
          </w:p>
        </w:tc>
      </w:tr>
      <w:tr w:rsidR="00B47B7D" w:rsidRPr="000B6B22" w14:paraId="5DBD2ED8" w14:textId="77777777" w:rsidTr="00454544">
        <w:tc>
          <w:tcPr>
            <w:tcW w:w="1457" w:type="dxa"/>
            <w:shd w:val="clear" w:color="auto" w:fill="auto"/>
            <w:vAlign w:val="center"/>
          </w:tcPr>
          <w:p w14:paraId="0786D718" w14:textId="214CAD0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0640</w:t>
            </w:r>
          </w:p>
        </w:tc>
        <w:tc>
          <w:tcPr>
            <w:tcW w:w="6946" w:type="dxa"/>
            <w:shd w:val="clear" w:color="auto" w:fill="auto"/>
          </w:tcPr>
          <w:p w14:paraId="38EA85F5" w14:textId="46086A1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1.1.6.2.4.2. άλλες</w:t>
            </w:r>
          </w:p>
          <w:p w14:paraId="682F5E23" w14:textId="0DED00CF"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rPr>
              <w:t>Άρθρο 31 παράγραφος 8 στοιχείο β) του κατ’ εξουσιοδότηση κανονισμού (ΕΕ) 2015/61</w:t>
            </w:r>
          </w:p>
          <w:p w14:paraId="0AE3BC58" w14:textId="77777777"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Τα πιστωτικά ιδρύματα αναφέρουν το μέγιστο ποσό που μπορεί να αναληφθεί από μη αναληφθείσες δεσμευμένες διευκολύνσεις ρευστότητας οι οποίες παρέχονται σε ΟΕΣΤ για σκοπούς άλλους εκτός από τους προαναφερόμενους. Αυτό περιλαμβάνει συμφωνίες βάσει των οποίων το ίδρυμα υποχρεούται να αγοράσει ή να ανταλλάξει στοιχεία ενεργητικού από ΟΕΣΤ</w:t>
            </w:r>
          </w:p>
        </w:tc>
      </w:tr>
      <w:tr w:rsidR="00B47B7D" w:rsidRPr="000B6B22" w14:paraId="2F6D4925" w14:textId="77777777" w:rsidTr="00454544">
        <w:tc>
          <w:tcPr>
            <w:tcW w:w="1457" w:type="dxa"/>
            <w:shd w:val="clear" w:color="auto" w:fill="auto"/>
            <w:vAlign w:val="center"/>
          </w:tcPr>
          <w:p w14:paraId="3DBAFB1F" w14:textId="0572369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0650</w:t>
            </w:r>
          </w:p>
        </w:tc>
        <w:tc>
          <w:tcPr>
            <w:tcW w:w="6946" w:type="dxa"/>
            <w:shd w:val="clear" w:color="auto" w:fill="auto"/>
          </w:tcPr>
          <w:p w14:paraId="5083B734" w14:textId="4BDA161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1.1.6.2.5. σε πιστωτικά ιδρύματα</w:t>
            </w:r>
          </w:p>
          <w:p w14:paraId="02A2824C"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Τα πιστωτικά ιδρύματα αναφέρουν εδώ τις δεσμευμένες διευκολύνσεις ρευστότητας που παρέχονται σε πιστωτικά ιδρύματα.</w:t>
            </w:r>
          </w:p>
        </w:tc>
      </w:tr>
      <w:tr w:rsidR="00B47B7D" w:rsidRPr="000B6B22" w14:paraId="6FA62824" w14:textId="77777777" w:rsidTr="00454544">
        <w:tc>
          <w:tcPr>
            <w:tcW w:w="1457" w:type="dxa"/>
            <w:shd w:val="clear" w:color="auto" w:fill="auto"/>
            <w:vAlign w:val="center"/>
          </w:tcPr>
          <w:p w14:paraId="0E9BD861" w14:textId="6712395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0660</w:t>
            </w:r>
          </w:p>
        </w:tc>
        <w:tc>
          <w:tcPr>
            <w:tcW w:w="6946" w:type="dxa"/>
            <w:shd w:val="clear" w:color="auto" w:fill="auto"/>
          </w:tcPr>
          <w:p w14:paraId="2DA443D6"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1.1.5.2.5.1. για τη χρηματοδότηση προνομιακών δανείων πελατών λιανικής</w:t>
            </w:r>
          </w:p>
          <w:p w14:paraId="3A3CA88A" w14:textId="5E11C62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Άρθρο 31 παράγραφος 9 του κατ’ εξουσιοδότηση κανονισμού (ΕΕ) 2015/61</w:t>
            </w:r>
          </w:p>
          <w:p w14:paraId="491240A3" w14:textId="6385E6DE"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Τα πιστωτικά ιδρύματα αναφέρουν το μέγιστο ποσό που μπορεί να αναληφθεί από μη αναληφθείσες δεσμευμένες διευκολύνσεις ρευστότητας που παρέχονται σε πιστωτικά ιδρύματα με αποκλειστικό σκοπό την άμεση ή έμμεση χρηματοδότηση προνομιακών δανείων που χαρακτηρίζονται ως ανοίγματα σε πελάτες σύμφωνα με το άρθρο 411 παράγραφος 2 του κανονισμού (ΕΕ) αριθ. 575/2013.</w:t>
            </w:r>
          </w:p>
          <w:p w14:paraId="1BDFB16B"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Μόνο πιστωτικά ιδρύματα που έχουν συσταθεί και χρηματοδοτούνται από την κεντρική ή περιφερειακή κυβέρνηση τουλάχιστον ενός κράτους μέλους μπορούν να αναφέρουν αυτό το στοιχείο.</w:t>
            </w:r>
          </w:p>
        </w:tc>
      </w:tr>
      <w:tr w:rsidR="00B47B7D" w:rsidRPr="000B6B22" w14:paraId="76444688" w14:textId="77777777" w:rsidTr="00454544">
        <w:tc>
          <w:tcPr>
            <w:tcW w:w="1457" w:type="dxa"/>
            <w:shd w:val="clear" w:color="auto" w:fill="auto"/>
            <w:vAlign w:val="center"/>
          </w:tcPr>
          <w:p w14:paraId="545ED7DA" w14:textId="10002CF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0670</w:t>
            </w:r>
          </w:p>
        </w:tc>
        <w:tc>
          <w:tcPr>
            <w:tcW w:w="6946" w:type="dxa"/>
            <w:shd w:val="clear" w:color="auto" w:fill="auto"/>
          </w:tcPr>
          <w:p w14:paraId="679B958B" w14:textId="0879B9E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1.1.6.2.5.2. για τη χρηματοδότηση προνομιακών δανείων μη χρηματοπιστωτικών πελατών</w:t>
            </w:r>
          </w:p>
          <w:p w14:paraId="5BE7B326" w14:textId="0351167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Άρθρο 31 παράγραφος 9 του κατ’ εξουσιοδότηση κανονισμού (ΕΕ) 2015/61</w:t>
            </w:r>
          </w:p>
          <w:p w14:paraId="77824B01" w14:textId="6FD61FF4"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Τα πιστωτικά ιδρύματα αναφέρουν το μέγιστο ποσό που μπορεί να αναληφθεί από μη αναληφθείσες δεσμευμένες διευκολύνσεις ρευστότητας που παρέχονται σε πιστωτικά ιδρύματα με αποκλειστικό σκοπό την άμεση ή έμμεση χρηματοδότηση προνομιακών δανείων που χαρακτηρίζονται ως ανοίγματα σε πελάτες οι οποίοι δεν είναι ούτε χρηματοπιστωτικοί πελάτες σύμφωνα με το άρθρο 411 παράγραφος 1 του κανονισμού (ΕΕ) αριθ. 575/2013 ούτε πελάτες λιανικής σύμφωνα με το άρθρο 411 παράγραφος 2 του κανονισμού (ΕΕ) αριθ. 575/2013.</w:t>
            </w:r>
          </w:p>
          <w:p w14:paraId="5F41B186"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lastRenderedPageBreak/>
              <w:t>Μόνο πιστωτικά ιδρύματα που έχουν συσταθεί και χρηματοδοτούνται από την κεντρική ή περιφερειακή κυβέρνηση τουλάχιστον ενός κράτους μέλους μπορούν να αναφέρουν αυτό το στοιχείο.</w:t>
            </w:r>
          </w:p>
        </w:tc>
      </w:tr>
      <w:tr w:rsidR="00B47B7D" w:rsidRPr="000B6B22" w14:paraId="25D61F82" w14:textId="77777777" w:rsidTr="00454544">
        <w:tc>
          <w:tcPr>
            <w:tcW w:w="1457" w:type="dxa"/>
            <w:shd w:val="clear" w:color="auto" w:fill="auto"/>
            <w:vAlign w:val="center"/>
          </w:tcPr>
          <w:p w14:paraId="3452BBFA" w14:textId="0C5373A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0680</w:t>
            </w:r>
          </w:p>
        </w:tc>
        <w:tc>
          <w:tcPr>
            <w:tcW w:w="6946" w:type="dxa"/>
            <w:shd w:val="clear" w:color="auto" w:fill="auto"/>
          </w:tcPr>
          <w:p w14:paraId="23763AE1" w14:textId="06C1820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1.1.6.2.5.3. άλλες</w:t>
            </w:r>
          </w:p>
          <w:p w14:paraId="45A77695" w14:textId="6466C366"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rPr>
              <w:t>Άρθρο 31 παράγραφος 8 στοιχείο α) του κατ’ εξουσιοδότηση κανονισμού (ΕΕ) 2015/61</w:t>
            </w:r>
          </w:p>
          <w:p w14:paraId="0DCDA8EC" w14:textId="77777777"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Τα πιστωτικά ιδρύματα αναφέρουν το μέγιστο ποσό που μπορεί να αναληφθεί από μη αναληφθείσες δεσμευμένες διευκολύνσεις ρευστότητας οι οποίες παρέχονται σε πιστωτικά ιδρύματα που δεν αναφέρονται ανωτέρω.</w:t>
            </w:r>
          </w:p>
        </w:tc>
      </w:tr>
      <w:tr w:rsidR="00B47B7D" w:rsidRPr="000B6B22" w14:paraId="2B379668" w14:textId="77777777" w:rsidTr="00454544">
        <w:tc>
          <w:tcPr>
            <w:tcW w:w="1457" w:type="dxa"/>
            <w:shd w:val="clear" w:color="auto" w:fill="auto"/>
            <w:vAlign w:val="center"/>
          </w:tcPr>
          <w:p w14:paraId="2283736E" w14:textId="5977D5F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0690</w:t>
            </w:r>
          </w:p>
        </w:tc>
        <w:tc>
          <w:tcPr>
            <w:tcW w:w="6946" w:type="dxa"/>
            <w:shd w:val="clear" w:color="auto" w:fill="auto"/>
          </w:tcPr>
          <w:p w14:paraId="3B9A3AB0" w14:textId="48A6F39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1.1.6.2.6. εντός ομίλου ή ΘΣΠ, εφόσον υπόκεινται σε προτιμησιακό καθεστώς</w:t>
            </w:r>
          </w:p>
          <w:p w14:paraId="3956E823" w14:textId="5563177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Άρθρο 29 του κατ’ εξουσιοδότηση κανονισμού (ΕΕ) 2015/61</w:t>
            </w:r>
          </w:p>
          <w:p w14:paraId="686CA660" w14:textId="1ED5C52B"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Τα πιστωτικά ιδρύματα αναφέρουν το μέγιστο ποσό που μπορεί να αναληφθεί από μη αναληφθείσες δεσμευμένες διευκολύνσεις ρευστότητας για τις οποίες έχουν λάβει άδεια εφαρμογής χαμηλότερου ποσοστού εκροής σύμφωνα με το άρθρο 29 του κατ’ εξουσιοδότηση κανονισμού (ΕΕ) 2015/61.</w:t>
            </w:r>
          </w:p>
        </w:tc>
      </w:tr>
      <w:tr w:rsidR="00B47B7D" w:rsidRPr="000B6B22" w14:paraId="5FA0D150" w14:textId="77777777" w:rsidTr="00454544">
        <w:tc>
          <w:tcPr>
            <w:tcW w:w="1457" w:type="dxa"/>
            <w:shd w:val="clear" w:color="auto" w:fill="auto"/>
            <w:vAlign w:val="center"/>
          </w:tcPr>
          <w:p w14:paraId="0E91CBFB" w14:textId="3E2FBCC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0700</w:t>
            </w:r>
          </w:p>
        </w:tc>
        <w:tc>
          <w:tcPr>
            <w:tcW w:w="6946" w:type="dxa"/>
            <w:shd w:val="clear" w:color="auto" w:fill="auto"/>
          </w:tcPr>
          <w:p w14:paraId="0A4B1881" w14:textId="47DC54B4"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rPr>
              <w:t>1.1.6.2.7. εντός ΘΣΠ ή συνεταιριστικού δικτύου, εφόσον αντιμετωπίζονται ως ρευστά στοιχεία ενεργητικού από το ίδρυμα που πραγματοποιεί την κατάθεση</w:t>
            </w:r>
          </w:p>
          <w:p w14:paraId="25DF6CAA" w14:textId="09F9C46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Άρθρο 31 παράγραφος 7 του κατ’ εξουσιοδότηση κανονισμού (ΕΕ) 2015/61</w:t>
            </w:r>
          </w:p>
          <w:p w14:paraId="6AAF3C15" w14:textId="468C3D86"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Τα κεντρικά ιδρύματα ενός συστήματος ή δικτύου που αναφέρεται στο άρθρο 16 αναφέρουν το μέγιστο ποσό που μπορεί να αναληφθεί από μη αναληφθείσες δεσμευμένες διευκολύνσεις ρευστότητας σε πιστωτικό ίδρυμα-μέλος, εφόσον το εν λόγω πιστωτικό ίδρυμα-μέλος μεταχειρίζεται τη διευκόλυνση ως ρευστό στοιχείο ενεργητικού, σύμφωνα με το άρθρο 16 παράγραφος 2 του ίδιου κατ’ εξουσιοδότηση κανονισμού.</w:t>
            </w:r>
          </w:p>
        </w:tc>
      </w:tr>
      <w:tr w:rsidR="00B47B7D" w:rsidRPr="000B6B22" w14:paraId="5596FB18" w14:textId="77777777" w:rsidTr="00454544">
        <w:tc>
          <w:tcPr>
            <w:tcW w:w="1457" w:type="dxa"/>
            <w:shd w:val="clear" w:color="auto" w:fill="auto"/>
            <w:vAlign w:val="center"/>
          </w:tcPr>
          <w:p w14:paraId="378AC22E" w14:textId="77777777" w:rsidR="006E48EA" w:rsidRPr="00301219" w:rsidRDefault="006E48EA" w:rsidP="009D4EFF">
            <w:pPr>
              <w:pStyle w:val="TableParagraph"/>
              <w:spacing w:after="120"/>
              <w:jc w:val="both"/>
              <w:rPr>
                <w:rFonts w:ascii="Times New Roman" w:eastAsia="Times New Roman" w:hAnsi="Times New Roman"/>
                <w:sz w:val="24"/>
                <w:szCs w:val="24"/>
              </w:rPr>
            </w:pPr>
          </w:p>
          <w:p w14:paraId="61482990" w14:textId="7AA4CD7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0710</w:t>
            </w:r>
          </w:p>
        </w:tc>
        <w:tc>
          <w:tcPr>
            <w:tcW w:w="6946" w:type="dxa"/>
            <w:shd w:val="clear" w:color="auto" w:fill="auto"/>
          </w:tcPr>
          <w:p w14:paraId="54795273" w14:textId="6AAA5D9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1.1.6.2.8. σε άλλους χρηματοπιστωτικούς πελάτες</w:t>
            </w:r>
          </w:p>
          <w:p w14:paraId="7D82F302" w14:textId="2684FC9F"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rPr>
              <w:t>Άρθρο 31 παράγραφος 8 στοιχείο γ) του κατ’ εξουσιοδότηση κανονισμού (ΕΕ) 2015/61</w:t>
            </w:r>
          </w:p>
          <w:p w14:paraId="6EDDFF45"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Τα πιστωτικά ιδρύματα αναφέρουν το μέγιστο ποσό που μπορεί να αναληφθεί από μη αναληφθείσες δεσμευμένες διευκολύνσεις ρευστότητας, εκτός από εκείνες που αναφέρονται ανωτέρω σε άλλους χρηματοπιστωτικούς πελάτες.</w:t>
            </w:r>
          </w:p>
        </w:tc>
      </w:tr>
      <w:tr w:rsidR="00B47B7D" w:rsidRPr="000B6B22" w14:paraId="31B74BE9" w14:textId="77777777" w:rsidTr="00454544">
        <w:tc>
          <w:tcPr>
            <w:tcW w:w="1457" w:type="dxa"/>
            <w:shd w:val="clear" w:color="auto" w:fill="auto"/>
            <w:vAlign w:val="center"/>
          </w:tcPr>
          <w:p w14:paraId="1C2B9978" w14:textId="161D524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0720</w:t>
            </w:r>
          </w:p>
        </w:tc>
        <w:tc>
          <w:tcPr>
            <w:tcW w:w="6946" w:type="dxa"/>
            <w:shd w:val="clear" w:color="auto" w:fill="auto"/>
          </w:tcPr>
          <w:p w14:paraId="79594CF5" w14:textId="24D5991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1.1.7. Άλλα προϊόντα και υπηρεσίες</w:t>
            </w:r>
          </w:p>
          <w:p w14:paraId="4378E198" w14:textId="56DC28D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Άρθρο 23 παράγραφος 2 του κατ’ εξουσιοδότηση κανονισμού (ΕΕ) 2015/61</w:t>
            </w:r>
          </w:p>
          <w:p w14:paraId="55E6CE66" w14:textId="1D8DD148" w:rsidR="006E48EA" w:rsidRPr="000B6B22" w:rsidRDefault="006E48EA" w:rsidP="009D4EFF">
            <w:pPr>
              <w:pStyle w:val="TableParagraph"/>
              <w:spacing w:after="120"/>
              <w:ind w:right="99"/>
              <w:jc w:val="both"/>
              <w:rPr>
                <w:rFonts w:ascii="Times New Roman" w:hAnsi="Times New Roman"/>
                <w:sz w:val="24"/>
                <w:szCs w:val="24"/>
              </w:rPr>
            </w:pPr>
            <w:r>
              <w:rPr>
                <w:rFonts w:ascii="Times New Roman" w:hAnsi="Times New Roman"/>
                <w:sz w:val="24"/>
              </w:rPr>
              <w:t>Τα πιστωτικά ιδρύματα αναφέρουν εδώ τα προϊόντα και τις υπηρεσίες που αναφέρονται στο άρθρο 23 παράγραφος 1 του κατ’ εξουσιοδότηση κανονισμού (ΕΕ) 2015/61.</w:t>
            </w:r>
          </w:p>
          <w:p w14:paraId="2D9E6566" w14:textId="68BBD588"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lastRenderedPageBreak/>
              <w:t>Το προς αναφορά ποσό είναι το μέγιστο ποσό που μπορεί να αναληφθεί από τα προϊόντα ή τις υπηρεσίες που αναφέρονται στο άρθρο 23 παράγραφος 1 του κατ’ εξουσιοδότηση κανονισμού (ΕΕ) 2015/61.</w:t>
            </w:r>
          </w:p>
          <w:p w14:paraId="398801BC" w14:textId="08FBA5B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Ο προς αναφορά εφαρμοστέος συντελεστής στάθμισης είναι ο συντελεστής στάθμισης που καθορίζεται από τις αρμόδιες αρχές σύμφωνα με τη διαδικασία που ορίζεται στο άρθρο 23 παράγραφος 2 του κατ’ εξουσιοδότηση κανονισμού (ΕΕ) 2015/61.</w:t>
            </w:r>
          </w:p>
        </w:tc>
      </w:tr>
      <w:tr w:rsidR="00B47B7D" w:rsidRPr="000B6B22" w14:paraId="24FEB050" w14:textId="77777777" w:rsidTr="00454544">
        <w:tc>
          <w:tcPr>
            <w:tcW w:w="1457" w:type="dxa"/>
            <w:shd w:val="clear" w:color="auto" w:fill="auto"/>
            <w:vAlign w:val="center"/>
          </w:tcPr>
          <w:p w14:paraId="5FE7EF7A" w14:textId="102A47F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0731</w:t>
            </w:r>
          </w:p>
        </w:tc>
        <w:tc>
          <w:tcPr>
            <w:tcW w:w="6946" w:type="dxa"/>
            <w:shd w:val="clear" w:color="auto" w:fill="auto"/>
          </w:tcPr>
          <w:p w14:paraId="6FA5646C" w14:textId="419EA8F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1.1.7.1. Μη δεσμευμένες χρηματοδοτικές διευκολύνσεις</w:t>
            </w:r>
          </w:p>
          <w:p w14:paraId="29E56B7D" w14:textId="3A65DB90"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Άρθρο 23 παράγραφος 2 του κατ’ εξουσιοδότηση κανονισμού (ΕΕ) 2015/61</w:t>
            </w:r>
          </w:p>
          <w:p w14:paraId="137272A6" w14:textId="70A4FA60" w:rsidR="006E48EA" w:rsidRPr="000B6B22" w:rsidRDefault="006E48EA" w:rsidP="009D4EFF">
            <w:pPr>
              <w:pStyle w:val="TableParagraph"/>
              <w:spacing w:after="120"/>
              <w:ind w:right="96"/>
              <w:jc w:val="both"/>
              <w:rPr>
                <w:rFonts w:ascii="Times New Roman" w:hAnsi="Times New Roman"/>
                <w:sz w:val="24"/>
                <w:szCs w:val="24"/>
              </w:rPr>
            </w:pPr>
            <w:r>
              <w:rPr>
                <w:rFonts w:ascii="Times New Roman" w:hAnsi="Times New Roman"/>
                <w:sz w:val="24"/>
              </w:rPr>
              <w:t>Τα πιστωτικά ιδρύματα αναφέρουν το ποσό των μη δεσμευμένων χρηματοδοτικών διευκολύνσεων που αναφέρονται στο άρθρο 23 παράγραφος 1 του κατ’ εξουσιοδότηση κανονισμού (ΕΕ) 2015/61.</w:t>
            </w:r>
          </w:p>
          <w:p w14:paraId="3B5E2002" w14:textId="728C4BB4" w:rsidR="008C7A09" w:rsidRPr="000B6B22" w:rsidRDefault="0039321F"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 xml:space="preserve">Οι εγγυήσεις δεν υποβάλλονται στη συγκεκριμένη γραμμή. </w:t>
            </w:r>
          </w:p>
        </w:tc>
      </w:tr>
      <w:tr w:rsidR="00B47B7D" w:rsidRPr="000B6B22" w14:paraId="7D7263A8" w14:textId="77777777" w:rsidTr="00454544">
        <w:tc>
          <w:tcPr>
            <w:tcW w:w="1457" w:type="dxa"/>
            <w:shd w:val="clear" w:color="auto" w:fill="auto"/>
            <w:vAlign w:val="center"/>
          </w:tcPr>
          <w:p w14:paraId="59BEC0C2" w14:textId="7CAC491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0740</w:t>
            </w:r>
          </w:p>
        </w:tc>
        <w:tc>
          <w:tcPr>
            <w:tcW w:w="6946" w:type="dxa"/>
            <w:shd w:val="clear" w:color="auto" w:fill="auto"/>
          </w:tcPr>
          <w:p w14:paraId="3C425836" w14:textId="30E04A3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1.1.7.2. μη εκταμιευθέντα δάνεια και προκαταβολές προς αντισυμβαλλομένους χονδρικής</w:t>
            </w:r>
          </w:p>
          <w:p w14:paraId="7FF6A607" w14:textId="042637A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Άρθρο 23 παράγραφος 2 του κατ’ εξουσιοδότηση κανονισμού (ΕΕ) 2015/61</w:t>
            </w:r>
          </w:p>
          <w:p w14:paraId="6E6D9823" w14:textId="4930CD9D"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Τα πιστωτικά ιδρύματα αναφέρουν το ποσό των μη εκταμιευθέντων δανείων και προκαταβολών προς αντισυμβαλλομένους χονδρικής που αναφέρονται στο άρθρο 23 παράγραφος 1 του κατ’ εξουσιοδότηση κανονισμού (ΕΕ) 2015/61.</w:t>
            </w:r>
          </w:p>
        </w:tc>
      </w:tr>
      <w:tr w:rsidR="00B47B7D" w:rsidRPr="000B6B22" w14:paraId="5D46CCC8" w14:textId="77777777" w:rsidTr="00454544">
        <w:tc>
          <w:tcPr>
            <w:tcW w:w="1457" w:type="dxa"/>
            <w:shd w:val="clear" w:color="auto" w:fill="auto"/>
            <w:vAlign w:val="center"/>
          </w:tcPr>
          <w:p w14:paraId="2866286E" w14:textId="649D2A8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0750</w:t>
            </w:r>
          </w:p>
        </w:tc>
        <w:tc>
          <w:tcPr>
            <w:tcW w:w="6946" w:type="dxa"/>
            <w:shd w:val="clear" w:color="auto" w:fill="auto"/>
          </w:tcPr>
          <w:p w14:paraId="4AF555BB" w14:textId="278BD49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1.1.7.3. ενυπόθηκα δάνεια που έχουν συμφωνηθεί αλλά δεν έχουν εκταμιευθεί ακόμη</w:t>
            </w:r>
          </w:p>
          <w:p w14:paraId="704D344A" w14:textId="5248F5C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Άρθρο 23 παράγραφος 2 του κατ’ εξουσιοδότηση κανονισμού (ΕΕ) 2015/61</w:t>
            </w:r>
          </w:p>
          <w:p w14:paraId="79F23E23" w14:textId="54099AD9"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Τα πιστωτικά ιδρύματα αναφέρουν το ποσό των ενυπόθηκων στεγαστικών δανείων που έχουν συμφωνηθεί αλλά δεν έχουν εκταμιευθεί ακόμη, όπως αναφέρεται στο άρθρο 23 παράγραφος 1 του κατ’ εξουσιοδότηση κανονισμού (ΕΕ) 2015/61.</w:t>
            </w:r>
          </w:p>
        </w:tc>
      </w:tr>
      <w:tr w:rsidR="00B47B7D" w:rsidRPr="000B6B22" w14:paraId="295E743C" w14:textId="77777777" w:rsidTr="00454544">
        <w:tc>
          <w:tcPr>
            <w:tcW w:w="1457" w:type="dxa"/>
            <w:shd w:val="clear" w:color="auto" w:fill="auto"/>
            <w:vAlign w:val="center"/>
          </w:tcPr>
          <w:p w14:paraId="002B0F78" w14:textId="3774CF3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0760</w:t>
            </w:r>
          </w:p>
        </w:tc>
        <w:tc>
          <w:tcPr>
            <w:tcW w:w="6946" w:type="dxa"/>
            <w:shd w:val="clear" w:color="auto" w:fill="auto"/>
          </w:tcPr>
          <w:p w14:paraId="1E64917C" w14:textId="3A671F3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1.1.7.4. πιστωτικές κάρτες</w:t>
            </w:r>
          </w:p>
          <w:p w14:paraId="674F76F5" w14:textId="0F86629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Άρθρο 23 παράγραφος 2 του κατ’ εξουσιοδότηση κανονισμού (ΕΕ) 2015/61</w:t>
            </w:r>
          </w:p>
          <w:p w14:paraId="0E4C8A33" w14:textId="0494CD4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Τα πιστωτικά ιδρύματα αναφέρουν το ποσό των πιστωτικών καρτών που αναφέρονται στο άρθρο 23 παράγραφος 1 του κατ’ εξουσιοδότηση κανονισμού (ΕΕ) 2015/61.</w:t>
            </w:r>
          </w:p>
        </w:tc>
      </w:tr>
      <w:tr w:rsidR="00B47B7D" w:rsidRPr="000B6B22" w14:paraId="5F0BAB5A" w14:textId="77777777" w:rsidTr="00454544">
        <w:tc>
          <w:tcPr>
            <w:tcW w:w="1457" w:type="dxa"/>
            <w:shd w:val="clear" w:color="auto" w:fill="auto"/>
            <w:vAlign w:val="center"/>
          </w:tcPr>
          <w:p w14:paraId="279DF3FF" w14:textId="74559E2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0770</w:t>
            </w:r>
          </w:p>
        </w:tc>
        <w:tc>
          <w:tcPr>
            <w:tcW w:w="6946" w:type="dxa"/>
            <w:shd w:val="clear" w:color="auto" w:fill="auto"/>
          </w:tcPr>
          <w:p w14:paraId="11354603" w14:textId="2126291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1.1.7.5. υπεραναλήψεις</w:t>
            </w:r>
          </w:p>
          <w:p w14:paraId="725A6401" w14:textId="34D60F6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Άρθρο 23 παράγραφος 2 του κατ’ εξουσιοδότηση κανονισμού (ΕΕ) 2015/61</w:t>
            </w:r>
          </w:p>
          <w:p w14:paraId="6571EFDC" w14:textId="5B92E29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Τα πιστωτικά ιδρύματα αναφέρουν το ποσό των υπεραναλήψεων που αναφέρονται στο άρθρο 23 παράγραφος 1 του κατ’ εξουσιοδότηση κανονισμού (ΕΕ) 2015/61.</w:t>
            </w:r>
          </w:p>
        </w:tc>
      </w:tr>
      <w:tr w:rsidR="00B47B7D" w:rsidRPr="000B6B22" w14:paraId="28A8BD0E" w14:textId="77777777" w:rsidTr="00454544">
        <w:tc>
          <w:tcPr>
            <w:tcW w:w="1457" w:type="dxa"/>
            <w:shd w:val="clear" w:color="auto" w:fill="auto"/>
            <w:vAlign w:val="center"/>
          </w:tcPr>
          <w:p w14:paraId="5DB99321" w14:textId="4B3E2BA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0780</w:t>
            </w:r>
          </w:p>
        </w:tc>
        <w:tc>
          <w:tcPr>
            <w:tcW w:w="6946" w:type="dxa"/>
            <w:shd w:val="clear" w:color="auto" w:fill="auto"/>
          </w:tcPr>
          <w:p w14:paraId="5D145D40" w14:textId="301CA2C1"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rPr>
              <w:t>1.1.7.6. προγραμματισμένες εκροές που σχετίζονται με την ανανέωση ή παράταση νέων δανείων λιανικής ή χονδρικής</w:t>
            </w:r>
          </w:p>
          <w:p w14:paraId="4AD3B14C" w14:textId="78536AE0"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Άρθρο 23 παράγραφος 2 του κατ’ εξουσιοδότηση κανονισμού (ΕΕ) 2015/61</w:t>
            </w:r>
          </w:p>
          <w:p w14:paraId="27A60F61" w14:textId="33380DF5"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Τα πιστωτικά ιδρύματα αναφέρουν το ποσό των προγραμματισμένων εκροών που σχετίζονται με την ανανέωση ή επέκταση νέων δανείων λιανικής ή χονδρικής που αναφέρονται στο άρθρο 23 παράγραφος 1 του κατ’ εξουσιοδότηση κανονισμού (ΕΕ) 2015/61.</w:t>
            </w:r>
          </w:p>
        </w:tc>
      </w:tr>
      <w:tr w:rsidR="00B47B7D" w:rsidRPr="000B6B22" w14:paraId="36D9FAA1" w14:textId="77777777" w:rsidTr="00454544">
        <w:tc>
          <w:tcPr>
            <w:tcW w:w="1457" w:type="dxa"/>
            <w:shd w:val="clear" w:color="auto" w:fill="auto"/>
            <w:vAlign w:val="center"/>
          </w:tcPr>
          <w:p w14:paraId="7132EADC" w14:textId="23E8C9F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0850</w:t>
            </w:r>
          </w:p>
        </w:tc>
        <w:tc>
          <w:tcPr>
            <w:tcW w:w="6946" w:type="dxa"/>
            <w:shd w:val="clear" w:color="auto" w:fill="auto"/>
          </w:tcPr>
          <w:p w14:paraId="5870907A" w14:textId="724A00F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1.1.7.7. Πληρωμές από παράγωγα</w:t>
            </w:r>
          </w:p>
          <w:p w14:paraId="12F95436" w14:textId="087C502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Άρθρο 23 του κατ’ εξουσιοδότηση κανονισμού (ΕΕ) 2015/61</w:t>
            </w:r>
          </w:p>
          <w:p w14:paraId="2D5BD3D2" w14:textId="241B2A4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Τα πιστωτικά ιδρύματα αναφέρουν το ποσό πληρωμών από παράγωγα, εκτός από τις συμβάσεις που απαριθμούνται στο παράρτημα II του κανονισμού (ΕΕ) αριθ. 575/2013 και πιστωτικά παράγωγα, όπως αναφέρεται στο άρθρο 23 παράγραφος 1 του κατ’ εξουσιοδότηση κανονισμού (ΕΕ) 2015/61.</w:t>
            </w:r>
          </w:p>
        </w:tc>
      </w:tr>
      <w:tr w:rsidR="00B47B7D" w:rsidRPr="000B6B22" w14:paraId="3A33D5BA" w14:textId="77777777" w:rsidTr="00454544">
        <w:tc>
          <w:tcPr>
            <w:tcW w:w="1457" w:type="dxa"/>
            <w:shd w:val="clear" w:color="auto" w:fill="auto"/>
            <w:vAlign w:val="center"/>
          </w:tcPr>
          <w:p w14:paraId="6370CD13" w14:textId="3596C15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0860</w:t>
            </w:r>
          </w:p>
        </w:tc>
        <w:tc>
          <w:tcPr>
            <w:tcW w:w="6946" w:type="dxa"/>
            <w:shd w:val="clear" w:color="auto" w:fill="auto"/>
          </w:tcPr>
          <w:p w14:paraId="15AB21BD" w14:textId="6383F00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1.1.7.8. εκτός ισολογισμού προϊόντα που σχετίζονται με τη χρηματοδότηση εμπορίου</w:t>
            </w:r>
          </w:p>
          <w:p w14:paraId="086C34D7" w14:textId="4131BE49"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Τα πιστωτικά ιδρύματα αναφέρουν το ποσό των προϊόντων ή υπηρεσιών που σχετίζονται με εκτός ισολογισμού προϊόντα που σχετίζονται με τη χρηματοδότηση του εμπορίου, όπως αναφέρεται στο άρθρο 23 παράγραφος 1 του κατ’ εξουσιοδότηση κανονισμού (ΕΕ) 2015/61.</w:t>
            </w:r>
          </w:p>
        </w:tc>
      </w:tr>
      <w:tr w:rsidR="00B47B7D" w:rsidRPr="000B6B22" w14:paraId="0BBAE78A" w14:textId="77777777" w:rsidTr="00454544">
        <w:tc>
          <w:tcPr>
            <w:tcW w:w="1457" w:type="dxa"/>
            <w:shd w:val="clear" w:color="auto" w:fill="auto"/>
            <w:vAlign w:val="center"/>
          </w:tcPr>
          <w:p w14:paraId="719B0E31" w14:textId="0AA6A03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0870</w:t>
            </w:r>
          </w:p>
        </w:tc>
        <w:tc>
          <w:tcPr>
            <w:tcW w:w="6946" w:type="dxa"/>
            <w:shd w:val="clear" w:color="auto" w:fill="auto"/>
          </w:tcPr>
          <w:p w14:paraId="159D6237" w14:textId="579CE7C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1.1.7.9. άλλα</w:t>
            </w:r>
          </w:p>
          <w:p w14:paraId="5712662A" w14:textId="23492B0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Άρθρο 23 παράγραφος 2 του κατ’ εξουσιοδότηση κανονισμού (ΕΕ) 2015/61</w:t>
            </w:r>
          </w:p>
          <w:p w14:paraId="683501D0" w14:textId="4904E61D" w:rsidR="006E48EA" w:rsidRPr="000B6B22" w:rsidRDefault="006E48EA" w:rsidP="009D4EFF">
            <w:pPr>
              <w:pStyle w:val="TableParagraph"/>
              <w:spacing w:after="120"/>
              <w:ind w:right="97"/>
              <w:jc w:val="both"/>
              <w:rPr>
                <w:rFonts w:ascii="Times New Roman" w:hAnsi="Times New Roman"/>
                <w:sz w:val="24"/>
                <w:szCs w:val="24"/>
              </w:rPr>
            </w:pPr>
            <w:r>
              <w:rPr>
                <w:rFonts w:ascii="Times New Roman" w:hAnsi="Times New Roman"/>
                <w:sz w:val="24"/>
              </w:rPr>
              <w:t>Τα πιστωτικά ιδρύματα αναφέρουν το ποσό των άλλων προϊόντων ή υπηρεσιών εκτός από τα ανωτέρω που αναφέρονται στο άρθρο 23 παράγραφος 1 του κατ’ εξουσιοδότηση κανονισμού (ΕΕ) 2015/61.</w:t>
            </w:r>
          </w:p>
          <w:p w14:paraId="052770D9" w14:textId="7709034B" w:rsidR="0039321F" w:rsidRPr="000B6B22" w:rsidRDefault="0039321F" w:rsidP="009D4EFF">
            <w:pPr>
              <w:pStyle w:val="TableParagraph"/>
              <w:spacing w:after="120"/>
              <w:ind w:right="97"/>
              <w:jc w:val="both"/>
              <w:rPr>
                <w:rFonts w:ascii="Times New Roman" w:hAnsi="Times New Roman"/>
                <w:sz w:val="24"/>
                <w:szCs w:val="24"/>
              </w:rPr>
            </w:pPr>
            <w:r>
              <w:rPr>
                <w:rFonts w:ascii="Times New Roman" w:hAnsi="Times New Roman"/>
                <w:sz w:val="24"/>
              </w:rPr>
              <w:t>Οι εγγυήσεις, μεταξύ άλλων στοιχείων, αναφέρονται στη συγκεκριμένη γραμμή.</w:t>
            </w:r>
          </w:p>
          <w:p w14:paraId="56656AB1" w14:textId="0B413394" w:rsidR="0039321F" w:rsidRPr="000B6B22" w:rsidRDefault="0039321F"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Οι ενδεχόμενες εκροές που οφείλονται σε αιτίες άλλες από τις αιτίες υποβάθμισης που αναφέρονται στο άρθρο 30 παράγραφος 2 του κατ’ εξουσιοδότηση κανονισμού (ΕΕ) 2015/61 αναφέρονται στη συγκεκριμένη γραμμή.</w:t>
            </w:r>
          </w:p>
        </w:tc>
      </w:tr>
      <w:tr w:rsidR="00B47B7D" w:rsidRPr="000B6B22" w14:paraId="13F55256" w14:textId="77777777" w:rsidTr="00454544">
        <w:tc>
          <w:tcPr>
            <w:tcW w:w="1457" w:type="dxa"/>
            <w:shd w:val="clear" w:color="auto" w:fill="auto"/>
            <w:vAlign w:val="center"/>
          </w:tcPr>
          <w:p w14:paraId="1B285D82" w14:textId="550963D2"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0885</w:t>
            </w:r>
          </w:p>
        </w:tc>
        <w:tc>
          <w:tcPr>
            <w:tcW w:w="6946" w:type="dxa"/>
            <w:shd w:val="clear" w:color="auto" w:fill="auto"/>
          </w:tcPr>
          <w:p w14:paraId="76980E41" w14:textId="73CC9638"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u w:color="000000"/>
              </w:rPr>
              <w:t>1.1.8. Άλλες υποχρεώσεις και οφειλόμενες δεσμεύσεις</w:t>
            </w:r>
          </w:p>
          <w:p w14:paraId="248EE6BE" w14:textId="2785682C" w:rsidR="006E48EA" w:rsidRPr="000B6B22" w:rsidRDefault="006E48EA">
            <w:pPr>
              <w:pStyle w:val="TableParagraph"/>
              <w:spacing w:after="120"/>
              <w:ind w:right="100"/>
              <w:jc w:val="both"/>
              <w:rPr>
                <w:rFonts w:ascii="Times New Roman" w:eastAsia="Verdana" w:hAnsi="Times New Roman"/>
                <w:sz w:val="24"/>
                <w:szCs w:val="24"/>
              </w:rPr>
            </w:pPr>
            <w:r>
              <w:rPr>
                <w:rFonts w:ascii="Times New Roman" w:hAnsi="Times New Roman"/>
                <w:sz w:val="24"/>
              </w:rPr>
              <w:t>Άρθρο 28 παράγραφοι 2 και 6 και άρθρο 31α του κατ’ εξουσιοδότηση κανονισμού (ΕΕ) 2015/61</w:t>
            </w:r>
          </w:p>
          <w:p w14:paraId="63BD30BF" w14:textId="3632151C" w:rsidR="006E48EA" w:rsidRPr="000B6B22" w:rsidRDefault="006E48EA">
            <w:pPr>
              <w:pStyle w:val="TableParagraph"/>
              <w:spacing w:after="120"/>
              <w:ind w:right="97"/>
              <w:jc w:val="both"/>
              <w:rPr>
                <w:rFonts w:ascii="Times New Roman" w:eastAsia="Verdana" w:hAnsi="Times New Roman"/>
                <w:sz w:val="24"/>
                <w:szCs w:val="24"/>
              </w:rPr>
            </w:pPr>
            <w:r>
              <w:rPr>
                <w:rFonts w:ascii="Times New Roman" w:hAnsi="Times New Roman"/>
                <w:sz w:val="24"/>
              </w:rPr>
              <w:t>Τα πιστωτικά ιδρύματα αναφέρουν τις εκροές από άλλες υποχρεώσεις και οφειλόμενες δεσμεύσεις, όπως προβλέπεται στο άρθρο 28 παράγραφοι 2 και 6 και στο άρθρο 31α του κατ’ εξουσιοδότηση κανονισμού (ΕΕ) 2015/61.</w:t>
            </w:r>
          </w:p>
          <w:p w14:paraId="71BA5254" w14:textId="2D0BD2F6" w:rsidR="006E48EA" w:rsidRPr="000B6B22" w:rsidRDefault="006E48EA">
            <w:pPr>
              <w:pStyle w:val="TableParagraph"/>
              <w:spacing w:after="120"/>
              <w:jc w:val="both"/>
              <w:rPr>
                <w:rFonts w:ascii="Times New Roman" w:hAnsi="Times New Roman"/>
                <w:sz w:val="24"/>
                <w:szCs w:val="24"/>
              </w:rPr>
            </w:pPr>
            <w:r>
              <w:rPr>
                <w:rFonts w:ascii="Times New Roman" w:hAnsi="Times New Roman"/>
                <w:sz w:val="24"/>
              </w:rPr>
              <w:t xml:space="preserve">Το στοιχείο αυτό περιλαμβάνει επίσης, εάν είναι αναγκαίο, τα πρόσθετα υπόλοιπα που πρέπει να τηρούνται σε αποθεματικά κεντρικών τραπεζών, όταν έχει συμφωνηθεί μεταξύ της αρμόδιας </w:t>
            </w:r>
            <w:r>
              <w:rPr>
                <w:rFonts w:ascii="Times New Roman" w:hAnsi="Times New Roman"/>
                <w:sz w:val="24"/>
              </w:rPr>
              <w:lastRenderedPageBreak/>
              <w:t>αρχής και της ΕΚΤ ή της κεντρικής τράπεζας σύμφωνα με το άρθρο 10 παράγραφος 1 στοιχείο β) σημείο iii) του κατ’ εξουσιοδότηση κανονισμού (ΕΕ) 2015/61.</w:t>
            </w:r>
          </w:p>
        </w:tc>
      </w:tr>
      <w:tr w:rsidR="00B47B7D" w:rsidRPr="000B6B22" w14:paraId="72532BE1" w14:textId="77777777" w:rsidTr="00454544">
        <w:tc>
          <w:tcPr>
            <w:tcW w:w="1457" w:type="dxa"/>
            <w:shd w:val="clear" w:color="auto" w:fill="auto"/>
            <w:vAlign w:val="center"/>
          </w:tcPr>
          <w:p w14:paraId="45645D6C" w14:textId="750ED9B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0890</w:t>
            </w:r>
          </w:p>
        </w:tc>
        <w:tc>
          <w:tcPr>
            <w:tcW w:w="6946" w:type="dxa"/>
            <w:shd w:val="clear" w:color="auto" w:fill="auto"/>
          </w:tcPr>
          <w:p w14:paraId="3A3A2227" w14:textId="2668011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1.1.8.1. υποχρεώσεις που απορρέουν από λειτουργικές δαπάνες</w:t>
            </w:r>
          </w:p>
          <w:p w14:paraId="398C48AE" w14:textId="229D0BB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Άρθρο 28 παράγραφος 2 του κατ’ εξουσιοδότηση κανονισμού (ΕΕ) 2015/61</w:t>
            </w:r>
          </w:p>
          <w:p w14:paraId="393CF36B" w14:textId="22FE85E9"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Τα πιστωτικά ιδρύματα αναφέρουν το ποσό του εκκρεμούς υπολοίπου των υποχρεώσεων που προκύπτουν από τις ίδιες λειτουργικές δαπάνες του πιστωτικού ιδρύματος, όπως αναφέρεται στο άρθρο 28 παράγραφος 2 του κατ’ εξουσιοδότηση κανονισμού (ΕΕ) 2015/61.</w:t>
            </w:r>
          </w:p>
        </w:tc>
      </w:tr>
      <w:tr w:rsidR="00B47B7D" w:rsidRPr="000B6B22" w14:paraId="0FD09B16" w14:textId="77777777" w:rsidTr="00454544">
        <w:tc>
          <w:tcPr>
            <w:tcW w:w="1457" w:type="dxa"/>
            <w:shd w:val="clear" w:color="auto" w:fill="auto"/>
            <w:vAlign w:val="center"/>
          </w:tcPr>
          <w:p w14:paraId="7BC75909" w14:textId="7BB2965F"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0900</w:t>
            </w:r>
          </w:p>
        </w:tc>
        <w:tc>
          <w:tcPr>
            <w:tcW w:w="6946" w:type="dxa"/>
            <w:shd w:val="clear" w:color="auto" w:fill="auto"/>
          </w:tcPr>
          <w:p w14:paraId="530D31FB" w14:textId="7EFF318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1.1.8.2. με τη μορφή χρεογράφων εφόσον δεν αντιμετωπίζονται ως καταθέσεις λιανικής</w:t>
            </w:r>
          </w:p>
          <w:p w14:paraId="7BD788E0" w14:textId="1963F26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Άρθρο 28 παράγραφος 6 του κατ’ εξουσιοδότηση κανονισμού (ΕΕ) 2015/61</w:t>
            </w:r>
          </w:p>
          <w:p w14:paraId="356F7462" w14:textId="04106268"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Τα πιστωτικά ιδρύματα αναφέρουν το ποσό του εκκρεμούς υπολοίπου ομολόγων και άλλων χρεωστικών τίτλων που εκδίδονται από το πιστωτικό ίδρυμα, εκτός από αυτό που δηλώνεται ως καταθέσεις λιανικής όπως αναφέρεται στο άρθρο 28 παράγραφος 6 του κατ’ εξουσιοδότηση κανονισμού (ΕΕ) 2015/61. Το ποσό αυτό περιλαμβάνει επίσης τα τοκομερίδια που καθίστανται ληξιπρόθεσμα εντός των επόμενων 30 ημερολογιακών ημερών που αναφέρονται σε όλες αυτές τις κινητές αξίες.</w:t>
            </w:r>
          </w:p>
        </w:tc>
      </w:tr>
      <w:tr w:rsidR="00B47B7D" w:rsidRPr="000B6B22" w14:paraId="45F39342" w14:textId="77777777" w:rsidTr="00454544">
        <w:tc>
          <w:tcPr>
            <w:tcW w:w="1457" w:type="dxa"/>
            <w:shd w:val="clear" w:color="auto" w:fill="auto"/>
            <w:vAlign w:val="center"/>
          </w:tcPr>
          <w:p w14:paraId="7E3112ED" w14:textId="6D11CC0A"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0912</w:t>
            </w:r>
          </w:p>
        </w:tc>
        <w:tc>
          <w:tcPr>
            <w:tcW w:w="6946" w:type="dxa"/>
            <w:shd w:val="clear" w:color="auto" w:fill="auto"/>
          </w:tcPr>
          <w:p w14:paraId="6D8021F0" w14:textId="77777777"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b/>
                <w:sz w:val="24"/>
                <w:u w:color="000000"/>
              </w:rPr>
              <w:t>1.1.8.4 το υπερβάλλον ποσό της χρηματοδότησης σε μη χρηματοπιστωτικούς πελάτες</w:t>
            </w:r>
          </w:p>
          <w:p w14:paraId="71E54DBB" w14:textId="5F64598E"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rPr>
              <w:t>Άρθρο 31α παράγραφος 2 του κατ’ εξουσιοδότηση κανονισμού (ΕΕ) 2015/61</w:t>
            </w:r>
          </w:p>
          <w:p w14:paraId="368C7865" w14:textId="101F74E2" w:rsidR="006E48EA" w:rsidRPr="000B6B22" w:rsidRDefault="006E48EA" w:rsidP="009D4EFF">
            <w:pPr>
              <w:pStyle w:val="TableParagraph"/>
              <w:spacing w:after="120"/>
              <w:ind w:right="98"/>
              <w:jc w:val="both"/>
              <w:rPr>
                <w:rFonts w:ascii="Times New Roman" w:eastAsia="Times New Roman" w:hAnsi="Times New Roman"/>
                <w:sz w:val="24"/>
                <w:szCs w:val="24"/>
              </w:rPr>
            </w:pPr>
            <w:r>
              <w:rPr>
                <w:rFonts w:ascii="Times New Roman" w:hAnsi="Times New Roman"/>
                <w:sz w:val="24"/>
              </w:rPr>
              <w:t>Τα πιστωτικά ιδρύματα αναφέρουν στο σημείο αυτό τη διαφορά μεταξύ των συμβατικών δεσμεύσεων για τη χορήγηση χρηματοδότησης σε μη χρηματοπιστωτικούς πελάτες και του ποσού των εισροών από τους εν λόγω πελάτες, όπως αναφέρεται στο άρθρο 32 παράγραφος 3 στοιχείο α) του εν λόγω κατ’ εξουσιοδότηση κανονισμού, όταν το ποσό των πρώτων είναι μεγαλύτερο από τα δεύτερα ποσά.</w:t>
            </w:r>
          </w:p>
        </w:tc>
      </w:tr>
      <w:tr w:rsidR="00B47B7D" w:rsidRPr="000B6B22" w14:paraId="479246E7" w14:textId="77777777" w:rsidTr="00454544">
        <w:tc>
          <w:tcPr>
            <w:tcW w:w="1457" w:type="dxa"/>
            <w:shd w:val="clear" w:color="auto" w:fill="auto"/>
            <w:vAlign w:val="center"/>
          </w:tcPr>
          <w:p w14:paraId="2C651947" w14:textId="3C5CD8C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0913</w:t>
            </w:r>
          </w:p>
        </w:tc>
        <w:tc>
          <w:tcPr>
            <w:tcW w:w="6946" w:type="dxa"/>
            <w:shd w:val="clear" w:color="auto" w:fill="auto"/>
          </w:tcPr>
          <w:p w14:paraId="14000ED0"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u w:color="000000"/>
              </w:rPr>
              <w:t>1.1.8.4.1 το υπερβάλλον ποσό της χρηματοδότησης προς πελάτες λιανικής</w:t>
            </w:r>
          </w:p>
          <w:p w14:paraId="2E95E581" w14:textId="1F46850E"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rPr>
              <w:t>Τα πιστωτικά ιδρύματα αναφέρουν στο σημείο αυτό τη διαφορά μεταξύ των συμβατικών δεσμεύσεων για τη χορήγηση χρηματοδότησης σε πελάτες λιανικής και του ποσού των εισροών από τους εν λόγω πελάτες, όπως αναφέρεται στο άρθρο 32 παράγραφος 3 στοιχείο α) του κατ’ εξουσιοδότηση κανονισμού (ΕΕ) 2015/61, όταν το ποσό των πρώτων είναι μεγαλύτερο από τα δεύτερα ποσά.</w:t>
            </w:r>
          </w:p>
        </w:tc>
      </w:tr>
      <w:tr w:rsidR="00B47B7D" w:rsidRPr="000B6B22" w14:paraId="09D69798" w14:textId="77777777" w:rsidTr="00454544">
        <w:tc>
          <w:tcPr>
            <w:tcW w:w="1457" w:type="dxa"/>
            <w:shd w:val="clear" w:color="auto" w:fill="auto"/>
            <w:vAlign w:val="center"/>
          </w:tcPr>
          <w:p w14:paraId="51B6D8DE" w14:textId="36C94F9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0914</w:t>
            </w:r>
          </w:p>
        </w:tc>
        <w:tc>
          <w:tcPr>
            <w:tcW w:w="6946" w:type="dxa"/>
            <w:shd w:val="clear" w:color="auto" w:fill="auto"/>
          </w:tcPr>
          <w:p w14:paraId="247E0701"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1.1.8.4.2 το υπερβάλλον ποσό της χρηματοδότησης προς μη χρηματοδοτικές εταιρείες</w:t>
            </w:r>
          </w:p>
          <w:p w14:paraId="42491C7C" w14:textId="3619CF34"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rPr>
              <w:t xml:space="preserve">Τα πιστωτικά ιδρύματα αναφέρουν στο σημείο αυτό τη διαφορά </w:t>
            </w:r>
            <w:r>
              <w:rPr>
                <w:rFonts w:ascii="Times New Roman" w:hAnsi="Times New Roman"/>
                <w:sz w:val="24"/>
              </w:rPr>
              <w:lastRenderedPageBreak/>
              <w:t>μεταξύ των συμβατικών δεσμεύσεων για τη χορήγηση χρηματοδότησης σε μη χρηματοπιστωτικές επιχειρήσεις και του ποσού των εισροών από τους εν λόγω πελάτες, όπως αναφέρεται στο άρθρο 32 παράγραφος 3 στοιχείο α) του κατ’ εξουσιοδότηση κανονισμού (ΕΕ) 2015/61, όταν το ποσό των πρώτων είναι μεγαλύτερο από τα δεύτερα ποσά.</w:t>
            </w:r>
          </w:p>
        </w:tc>
      </w:tr>
      <w:tr w:rsidR="00B47B7D" w:rsidRPr="000B6B22" w14:paraId="34017190" w14:textId="77777777" w:rsidTr="00454544">
        <w:tc>
          <w:tcPr>
            <w:tcW w:w="1457" w:type="dxa"/>
            <w:shd w:val="clear" w:color="auto" w:fill="auto"/>
            <w:vAlign w:val="center"/>
          </w:tcPr>
          <w:p w14:paraId="08824DD5" w14:textId="3B4B7288"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lastRenderedPageBreak/>
              <w:t>0915</w:t>
            </w:r>
          </w:p>
        </w:tc>
        <w:tc>
          <w:tcPr>
            <w:tcW w:w="6946" w:type="dxa"/>
            <w:shd w:val="clear" w:color="auto" w:fill="auto"/>
          </w:tcPr>
          <w:p w14:paraId="6C5AD11C"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u w:color="000000"/>
              </w:rPr>
              <w:t>1.1.8.4.3 το υπερβάλλον ποσό της χρηματοδότησης προς κυβερνήσεις, πολυμερείς τράπεζες ανάπτυξης και οντότητες του δημοσίου τομέα</w:t>
            </w:r>
          </w:p>
          <w:p w14:paraId="0A7E8D5A" w14:textId="08050005"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rPr>
              <w:t>Τα πιστωτικά ιδρύματα αναφέρουν στο σημείο αυτό τη διαφορά μεταξύ των συμβατικών δεσμεύσεων για τη χορήγηση χρηματοδότησης προς κυβερνήσεις κρατών, πολυμερείς τράπεζες ανάπτυξης και οντότητες του δημόσιου τομέα και του ποσού των εισροών από τους εν λόγω πελάτες, όπως αναφέρεται στο άρθρο 32 παράγραφος 3 στοιχείο α) του κατ’ εξουσιοδότηση κανονισμού (ΕΕ) 2015/61, όταν το ποσό των πρώτων είναι μεγαλύτερο από τα δεύτερα ποσά.</w:t>
            </w:r>
          </w:p>
        </w:tc>
      </w:tr>
      <w:tr w:rsidR="00B47B7D" w:rsidRPr="000B6B22" w14:paraId="725A1ED7" w14:textId="77777777" w:rsidTr="00454544">
        <w:tc>
          <w:tcPr>
            <w:tcW w:w="1457" w:type="dxa"/>
            <w:shd w:val="clear" w:color="auto" w:fill="auto"/>
            <w:vAlign w:val="center"/>
          </w:tcPr>
          <w:p w14:paraId="366E802C" w14:textId="0DD3B1C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0916</w:t>
            </w:r>
          </w:p>
        </w:tc>
        <w:tc>
          <w:tcPr>
            <w:tcW w:w="6946" w:type="dxa"/>
            <w:shd w:val="clear" w:color="auto" w:fill="auto"/>
          </w:tcPr>
          <w:p w14:paraId="2505C02C"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u w:color="000000"/>
              </w:rPr>
              <w:t>1.1.8.4.4 το υπερβάλλον ποσό της χρηματοδότησης προς άλλες νομικές οντότητες</w:t>
            </w:r>
          </w:p>
          <w:p w14:paraId="608BE842" w14:textId="44F72E16"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rPr>
              <w:t>Τα πιστωτικά ιδρύματα αναφέρουν στο σημείο αυτό τη διαφορά μεταξύ των συμβατικών δεσμεύσεων για τη χορήγηση χρηματοδότησης σε άλλες νομικές οντότητες και του ποσού των εισροών από τους εν λόγω πελάτες, όπως αναφέρεται στο άρθρο 32 παράγραφος 3 στοιχείο α) του κατ’ εξουσιοδότηση κανονισμού (ΕΕ) 2015/61, όταν το ποσό των πρώτων είναι μεγαλύτερο από τα δεύτερα ποσά.</w:t>
            </w:r>
          </w:p>
        </w:tc>
      </w:tr>
      <w:tr w:rsidR="00B47B7D" w:rsidRPr="000B6B22" w14:paraId="372B309D" w14:textId="77777777" w:rsidTr="00454544">
        <w:tc>
          <w:tcPr>
            <w:tcW w:w="1457" w:type="dxa"/>
            <w:shd w:val="clear" w:color="auto" w:fill="auto"/>
            <w:vAlign w:val="center"/>
          </w:tcPr>
          <w:p w14:paraId="065E0968" w14:textId="7F90425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0917</w:t>
            </w:r>
          </w:p>
        </w:tc>
        <w:tc>
          <w:tcPr>
            <w:tcW w:w="6946" w:type="dxa"/>
            <w:shd w:val="clear" w:color="auto" w:fill="auto"/>
          </w:tcPr>
          <w:p w14:paraId="4B4E4468"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u w:color="000000"/>
              </w:rPr>
              <w:t>1.1.8.5 δανειοληψία στοιχείων ενεργητικού χωρίς εξασφάλιση</w:t>
            </w:r>
          </w:p>
          <w:p w14:paraId="51721E3E" w14:textId="2AE52E70"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rPr>
              <w:t>Άρθρο 28 παράγραφος 7 του κατ’ εξουσιοδότηση κανονισμού (ΕΕ) 2015/61</w:t>
            </w:r>
          </w:p>
          <w:p w14:paraId="5311C2DE" w14:textId="35334A4B"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Τα πιστωτικά ιδρύματα αναφέρουν εδώ τα στοιχεία ενεργητικού που αποτελούν αντικείμενο δανειοληψίας χωρίς εξασφάλιση, τα οποία λήγουν εντός 30 ημερών. Τα εν λόγω στοιχεία ενεργητικού θεωρείται ότι εξαντλούνται πλήρως, οδηγώντας σε εκροή 100 %.</w:t>
            </w:r>
          </w:p>
          <w:p w14:paraId="66070A83" w14:textId="77777777"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rPr>
              <w:t>Τα πιστωτικά ιδρύματα αναφέρουν την αγοραία αξία των στοιχείων ενεργητικού που λαμβάνονται ως δάνειο χωρίς εξασφάλιση, τα οποία λήγουν εντός της προθεσμίας των 30 ημερών, εφόσον το πιστωτικό ίδρυμα δεν κατέχει τους τίτλους και αυτοί δεν αποτελούν μέρος του αποθέματος ασφαλείας ρευστότητας των ιδρυμάτων.</w:t>
            </w:r>
          </w:p>
        </w:tc>
      </w:tr>
      <w:tr w:rsidR="00B47B7D" w:rsidRPr="000B6B22" w14:paraId="55F1E6FB" w14:textId="77777777" w:rsidTr="00454544">
        <w:tc>
          <w:tcPr>
            <w:tcW w:w="1457" w:type="dxa"/>
            <w:shd w:val="clear" w:color="auto" w:fill="auto"/>
            <w:vAlign w:val="center"/>
          </w:tcPr>
          <w:p w14:paraId="0EF4B587" w14:textId="69BB7E50"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0918</w:t>
            </w:r>
          </w:p>
        </w:tc>
        <w:tc>
          <w:tcPr>
            <w:tcW w:w="6946" w:type="dxa"/>
            <w:shd w:val="clear" w:color="auto" w:fill="auto"/>
          </w:tcPr>
          <w:p w14:paraId="4EFCF2A8" w14:textId="77777777"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b/>
                <w:sz w:val="24"/>
                <w:u w:color="000000"/>
              </w:rPr>
              <w:t>1.1.8.6 Άλλες</w:t>
            </w:r>
          </w:p>
          <w:p w14:paraId="0E24DA9D" w14:textId="27CC7D8C" w:rsidR="00555504" w:rsidRPr="000B6B22" w:rsidRDefault="00555504">
            <w:pPr>
              <w:pStyle w:val="TableParagraph"/>
              <w:spacing w:after="120"/>
              <w:jc w:val="both"/>
              <w:rPr>
                <w:rFonts w:ascii="Times New Roman" w:hAnsi="Times New Roman"/>
                <w:sz w:val="24"/>
                <w:szCs w:val="24"/>
              </w:rPr>
            </w:pPr>
            <w:r>
              <w:rPr>
                <w:rFonts w:ascii="Times New Roman" w:hAnsi="Times New Roman"/>
                <w:sz w:val="24"/>
              </w:rPr>
              <w:t>Άρθρο 31α παράγραφος 1 του κατ’ εξουσιοδότηση κανονισμού (ΕΕ) 2015/61</w:t>
            </w:r>
          </w:p>
          <w:p w14:paraId="1DD86F88" w14:textId="55F8E7B6" w:rsidR="006E48EA" w:rsidRPr="000B6B22" w:rsidRDefault="00555504">
            <w:pPr>
              <w:pStyle w:val="TableParagraph"/>
              <w:spacing w:after="120"/>
              <w:jc w:val="both"/>
              <w:rPr>
                <w:rFonts w:ascii="Times New Roman" w:hAnsi="Times New Roman"/>
                <w:sz w:val="24"/>
                <w:szCs w:val="24"/>
              </w:rPr>
            </w:pPr>
            <w:r>
              <w:rPr>
                <w:rFonts w:ascii="Times New Roman" w:hAnsi="Times New Roman"/>
                <w:sz w:val="24"/>
              </w:rPr>
              <w:t xml:space="preserve">Τα πιστωτικά ιδρύματα αναφέρουν το ποσό του εκκρεμούς υπολοίπου των υποχρεώσεων που καθίστανται ληξιπρόθεσμες εντός των επόμενων 30 ημερολογιακών ημερών, πλην εκείνων που αναφέρονται στα άρθρα 24 έως 31 του κατ’ εξουσιοδότηση κανονισμού (ΕΕ) </w:t>
            </w:r>
            <w:r>
              <w:rPr>
                <w:rFonts w:ascii="Times New Roman" w:hAnsi="Times New Roman"/>
                <w:sz w:val="24"/>
              </w:rPr>
              <w:lastRenderedPageBreak/>
              <w:t>2015/61.</w:t>
            </w:r>
          </w:p>
          <w:p w14:paraId="6B23C2B7" w14:textId="6AF918FB" w:rsidR="006E48EA" w:rsidRPr="000B6B22" w:rsidRDefault="007453EC">
            <w:pPr>
              <w:pStyle w:val="TableParagraph"/>
              <w:spacing w:after="120"/>
              <w:jc w:val="both"/>
              <w:rPr>
                <w:rFonts w:ascii="Times New Roman" w:hAnsi="Times New Roman"/>
                <w:sz w:val="24"/>
                <w:szCs w:val="24"/>
                <w:u w:color="000000"/>
              </w:rPr>
            </w:pPr>
            <w:r>
              <w:rPr>
                <w:rFonts w:ascii="Times New Roman" w:hAnsi="Times New Roman"/>
                <w:sz w:val="24"/>
                <w:u w:color="000000"/>
              </w:rPr>
              <w:t>Η συγκεκριμένη γραμμή περιλαμβάνει μόνο τυχόν άλλες εκροές από μη εξασφαλισμένες συναλλαγές. Οι εξασφαλισμένες συναλλαγές υποβάλλονται στο ID 1.2 στις «Εκροές που αφορούν εξασφαλισμένες πιστοδοτήσεις και συναλλαγές με όρους κεφαλαιαγοράς» και στο ID 1.3. στις «Συνολικές εκροές από πράξεις ανταλλαγής εξασφαλίσεων».</w:t>
            </w:r>
          </w:p>
        </w:tc>
      </w:tr>
      <w:tr w:rsidR="00B47B7D" w:rsidRPr="000B6B22" w14:paraId="26308457" w14:textId="77777777" w:rsidTr="00454544">
        <w:tc>
          <w:tcPr>
            <w:tcW w:w="1457" w:type="dxa"/>
            <w:shd w:val="clear" w:color="auto" w:fill="auto"/>
            <w:vAlign w:val="center"/>
          </w:tcPr>
          <w:p w14:paraId="3C3718CE" w14:textId="1A71E8F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0920</w:t>
            </w:r>
          </w:p>
        </w:tc>
        <w:tc>
          <w:tcPr>
            <w:tcW w:w="6946" w:type="dxa"/>
            <w:shd w:val="clear" w:color="auto" w:fill="auto"/>
          </w:tcPr>
          <w:p w14:paraId="51D41FB8"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u w:color="000000"/>
              </w:rPr>
              <w:t xml:space="preserve">1.2. </w:t>
            </w:r>
            <w:r>
              <w:rPr>
                <w:rFonts w:ascii="Times New Roman" w:hAnsi="Times New Roman"/>
                <w:b/>
                <w:sz w:val="24"/>
              </w:rPr>
              <w:t>Εκροές από εξασφαλισμένες πιστοδοτήσεις και από συναλλαγές με όρους κεφαλαιαγοράς</w:t>
            </w:r>
          </w:p>
          <w:p w14:paraId="75E2EC02" w14:textId="09C465C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Άρθρο 28 παράγραφος 3 του κατ’ εξουσιοδότηση κανονισμού (ΕΕ) 2015/61</w:t>
            </w:r>
          </w:p>
          <w:p w14:paraId="12CB8EC3" w14:textId="1F1D49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Τα πιστωτικά ιδρύματα αναφέρουν εδώ τις εκροές που προκύπτουν από εξασφαλισμένες πιστοδοτήσεις και από συναλλαγές με όρους κεφαλαιαγοράς όπως ορίζονται στο άρθρο 192 σημεία 2) και 3) του κανονισμού (ΕΕ) αριθ. 575/2013. Οι πράξεις ανταλλαγής εξασφαλίσεων (που καλύπτουν πράξεις εξασφαλίσεων έναντι εξασφαλίσεων) αναφέρονται στο υπόδειγμα C 75.01 του παραρτήματος XXIV.</w:t>
            </w:r>
          </w:p>
        </w:tc>
      </w:tr>
      <w:tr w:rsidR="00B47B7D" w:rsidRPr="000B6B22" w14:paraId="0BB6D654" w14:textId="77777777" w:rsidTr="00454544">
        <w:tc>
          <w:tcPr>
            <w:tcW w:w="1457" w:type="dxa"/>
            <w:shd w:val="clear" w:color="auto" w:fill="auto"/>
            <w:vAlign w:val="center"/>
          </w:tcPr>
          <w:p w14:paraId="2E51CB9B" w14:textId="1A9FBBD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0930</w:t>
            </w:r>
          </w:p>
        </w:tc>
        <w:tc>
          <w:tcPr>
            <w:tcW w:w="6946" w:type="dxa"/>
            <w:shd w:val="clear" w:color="auto" w:fill="auto"/>
          </w:tcPr>
          <w:p w14:paraId="08BE84A9" w14:textId="77777777" w:rsidR="006E48EA" w:rsidRPr="000B6B22" w:rsidRDefault="006E48EA" w:rsidP="009D4EFF">
            <w:pPr>
              <w:pStyle w:val="TableParagraph"/>
              <w:spacing w:after="120"/>
              <w:ind w:right="98"/>
              <w:jc w:val="both"/>
              <w:rPr>
                <w:rFonts w:ascii="Times New Roman" w:hAnsi="Times New Roman"/>
                <w:b/>
                <w:sz w:val="24"/>
                <w:szCs w:val="24"/>
                <w:u w:color="000000"/>
              </w:rPr>
            </w:pPr>
            <w:r>
              <w:rPr>
                <w:rFonts w:ascii="Times New Roman" w:hAnsi="Times New Roman"/>
                <w:b/>
                <w:sz w:val="24"/>
                <w:u w:color="000000"/>
              </w:rPr>
              <w:t>1.2.1. Ο αντισυμβαλλόμενος είναι κεντρική τράπεζα</w:t>
            </w:r>
          </w:p>
          <w:p w14:paraId="1ECF2478" w14:textId="77777777"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rPr>
              <w:t>Τα πιστωτικά ιδρύματα αναφέρουν εδώ εκροές που προκύπτουν από εξασφαλισμένες πιστοδοτήσεις και από συναλλαγές με όρους κεφαλαιαγοράς όπως ορίζονται στο άρθρο 192 σημεία 2) και 3) του κανονισμού (ΕΕ) αριθ. 575/2013, όταν ο αντισυμβαλλόμενος είναι κεντρική τράπεζα.</w:t>
            </w:r>
          </w:p>
        </w:tc>
      </w:tr>
      <w:tr w:rsidR="00B47B7D" w:rsidRPr="000B6B22" w14:paraId="4CE3B9D7" w14:textId="77777777" w:rsidTr="00454544">
        <w:tc>
          <w:tcPr>
            <w:tcW w:w="1457" w:type="dxa"/>
            <w:shd w:val="clear" w:color="auto" w:fill="auto"/>
            <w:vAlign w:val="center"/>
          </w:tcPr>
          <w:p w14:paraId="004919FA" w14:textId="714DF28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0940</w:t>
            </w:r>
          </w:p>
        </w:tc>
        <w:tc>
          <w:tcPr>
            <w:tcW w:w="6946" w:type="dxa"/>
            <w:shd w:val="clear" w:color="auto" w:fill="auto"/>
          </w:tcPr>
          <w:p w14:paraId="48979F10"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1.2.1.1. εξασφαλίσεις με στοιχεία ενεργητικού επιπέδου 1, εξαιρουμένων των ΕΥΠ καλυμμένων ομολόγων</w:t>
            </w:r>
          </w:p>
          <w:p w14:paraId="45DC1ED8" w14:textId="3C55C217"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rPr>
              <w:t>Άρθρο 28 παράγραφος 3 στοιχείο α) του κατ’ εξουσιοδότηση κανονισμού (ΕΕ) 2015/61</w:t>
            </w:r>
          </w:p>
          <w:p w14:paraId="6FD80278" w14:textId="49ABF444"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 xml:space="preserve">Τα πιστωτικά ιδρύματα αναφέρουν εδώ εκροές που προκύπτουν από εξασφαλισμένες πιστοδοτήσεις και από συναλλαγές με όρους κεφαλαιαγοράς όπως ορίζονται στο άρθρο 192 σημεία 2) και 3) του κανονισμού (ΕΕ) αριθ. 575/2013, όταν ο αντισυμβαλλόμενος είναι κεντρική τράπεζα και η παρεχόμενη εξασφάλιση συνίσταται σε στοιχεία ενεργητικού επιπέδου 1, εξαιρουμένων των εξαιρετικά υψηλής ποιότητας καλυμμένων ομολόγων και, αν δεν χρησιμοποιούνταν ως εξασφάλιση των εν λόγω συναλλαγών, θα μπορούσε να θεωρηθεί, σύμφωνα με τα άρθρα 7 και 10 του κατ’ εξουσιοδότηση κανονισμού (ΕΕ) 2015/61, ως ρευστό στοιχείο ενεργητικού. </w:t>
            </w:r>
          </w:p>
        </w:tc>
      </w:tr>
      <w:tr w:rsidR="00B47B7D" w:rsidRPr="000B6B22" w14:paraId="73885469" w14:textId="77777777" w:rsidTr="00454544">
        <w:tc>
          <w:tcPr>
            <w:tcW w:w="1457" w:type="dxa"/>
            <w:shd w:val="clear" w:color="auto" w:fill="auto"/>
            <w:vAlign w:val="center"/>
          </w:tcPr>
          <w:p w14:paraId="575D5DDF" w14:textId="3180FEB1"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0945</w:t>
            </w:r>
          </w:p>
        </w:tc>
        <w:tc>
          <w:tcPr>
            <w:tcW w:w="6946" w:type="dxa"/>
            <w:shd w:val="clear" w:color="auto" w:fill="auto"/>
          </w:tcPr>
          <w:p w14:paraId="442A7D6D" w14:textId="4AD976F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1.2.1.1.1 των οποίων οι παρεχόμενες εξασφαλίσεις πληρούν τις λειτουργικές απαιτήσεις</w:t>
            </w:r>
          </w:p>
          <w:p w14:paraId="6E88072E" w14:textId="534BAAD8" w:rsidR="006E48EA" w:rsidRPr="000B6B22" w:rsidRDefault="000378A5" w:rsidP="009D4EFF">
            <w:pPr>
              <w:pStyle w:val="TableParagraph"/>
              <w:spacing w:after="120"/>
              <w:jc w:val="both"/>
              <w:rPr>
                <w:rFonts w:ascii="Times New Roman" w:hAnsi="Times New Roman"/>
                <w:sz w:val="24"/>
                <w:szCs w:val="24"/>
              </w:rPr>
            </w:pPr>
            <w:r>
              <w:rPr>
                <w:rFonts w:ascii="Times New Roman" w:hAnsi="Times New Roman"/>
                <w:sz w:val="24"/>
              </w:rPr>
              <w:t xml:space="preserve">Συναλλαγές του σημείου 1.2.1.1 όπου η εξασφάλιση,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w:t>
            </w:r>
          </w:p>
        </w:tc>
      </w:tr>
      <w:tr w:rsidR="00B47B7D" w:rsidRPr="000B6B22" w14:paraId="0187E718" w14:textId="77777777" w:rsidTr="00454544">
        <w:tc>
          <w:tcPr>
            <w:tcW w:w="1457" w:type="dxa"/>
            <w:shd w:val="clear" w:color="auto" w:fill="auto"/>
            <w:vAlign w:val="center"/>
          </w:tcPr>
          <w:p w14:paraId="501B4524" w14:textId="3DC49C0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0950</w:t>
            </w:r>
          </w:p>
        </w:tc>
        <w:tc>
          <w:tcPr>
            <w:tcW w:w="6946" w:type="dxa"/>
            <w:shd w:val="clear" w:color="auto" w:fill="auto"/>
          </w:tcPr>
          <w:p w14:paraId="2AC020A1"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1.2.1.2. εξασφαλίσεις με ΕΥΠ καλυμμένα ομόλογα επιπέδου 1</w:t>
            </w:r>
          </w:p>
          <w:p w14:paraId="3899CE2D" w14:textId="26F0D9D2"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Άρθρο 28 παράγραφος 3 στοιχείο α) του κατ’ εξουσιοδότηση κανονισμού (ΕΕ) 2015/61</w:t>
            </w:r>
          </w:p>
          <w:p w14:paraId="0A97EDBB" w14:textId="5A17432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Τα πιστωτικά ιδρύματα αναφέρουν εδώ εκροές που προκύπτουν από εξασφαλισμένες πιστοδοτήσεις και από συναλλαγές με όρους κεφαλαιαγοράς όπως ορίζονται στο άρθρο 192 σημεία 2) και 3) του κανονισμού (ΕΕ) αριθ. 575/2013, όταν ο αντισυμβαλλόμενος είναι κεντρική τράπεζα και η παρεχόμενη εξασφάλιση συνίσταται σε στοιχεία ενεργητικού επιπέδου 1 που είναι εξαιρετικά υψηλής ποιότητας καλυμμένα ομόλογα και, αν δεν χρησιμοποιούνταν ως εξασφάλιση των εν λόγω συναλλαγών, θα μπορούσε να θεωρηθεί, σύμφωνα με τα άρθρα 7 και 10 του κατ’ εξουσιοδότηση κανονισμού (ΕΕ) 2015/61, ως ρευστό στοιχείο ενεργητικού.</w:t>
            </w:r>
          </w:p>
        </w:tc>
      </w:tr>
      <w:tr w:rsidR="00B47B7D" w:rsidRPr="000B6B22" w14:paraId="5493FE27" w14:textId="77777777" w:rsidTr="00454544">
        <w:tc>
          <w:tcPr>
            <w:tcW w:w="1457" w:type="dxa"/>
            <w:shd w:val="clear" w:color="auto" w:fill="auto"/>
            <w:vAlign w:val="center"/>
          </w:tcPr>
          <w:p w14:paraId="55B9341F" w14:textId="35017BF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0955</w:t>
            </w:r>
          </w:p>
        </w:tc>
        <w:tc>
          <w:tcPr>
            <w:tcW w:w="6946" w:type="dxa"/>
            <w:shd w:val="clear" w:color="auto" w:fill="auto"/>
          </w:tcPr>
          <w:p w14:paraId="6107E314"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1.2.1.2.1 των οποίων οι παρεχόμενες εξασφαλίσεις πληρούν τις λειτουργικές απαιτήσεις</w:t>
            </w:r>
          </w:p>
          <w:p w14:paraId="295247AA" w14:textId="0D80EE15" w:rsidR="006E48EA" w:rsidRPr="000B6B22" w:rsidRDefault="00D17D9F" w:rsidP="009D4EFF">
            <w:pPr>
              <w:pStyle w:val="TableParagraph"/>
              <w:spacing w:after="120"/>
              <w:jc w:val="both"/>
              <w:rPr>
                <w:rFonts w:ascii="Times New Roman" w:hAnsi="Times New Roman"/>
                <w:sz w:val="24"/>
                <w:szCs w:val="24"/>
              </w:rPr>
            </w:pPr>
            <w:r>
              <w:rPr>
                <w:rFonts w:ascii="Times New Roman" w:hAnsi="Times New Roman"/>
                <w:sz w:val="24"/>
              </w:rPr>
              <w:t>Συναλλαγές του σημείου 1.2.1.2 όπου η εξασφάλιση,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w:t>
            </w:r>
          </w:p>
        </w:tc>
      </w:tr>
      <w:tr w:rsidR="00B47B7D" w:rsidRPr="000B6B22" w14:paraId="0E136C31" w14:textId="77777777" w:rsidTr="00454544">
        <w:tc>
          <w:tcPr>
            <w:tcW w:w="1457" w:type="dxa"/>
            <w:shd w:val="clear" w:color="auto" w:fill="auto"/>
            <w:vAlign w:val="center"/>
          </w:tcPr>
          <w:p w14:paraId="4C89FD40" w14:textId="1E8452B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0960</w:t>
            </w:r>
          </w:p>
        </w:tc>
        <w:tc>
          <w:tcPr>
            <w:tcW w:w="6946" w:type="dxa"/>
            <w:shd w:val="clear" w:color="auto" w:fill="auto"/>
          </w:tcPr>
          <w:p w14:paraId="0500B4CB"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1.2.1.3. εξασφαλίσεις με στοιχεία ενεργητικού επιπέδου 2Α</w:t>
            </w:r>
          </w:p>
          <w:p w14:paraId="20FB7A2A" w14:textId="25A6343C"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Άρθρο 28 παράγραφος 3 στοιχείο α) του κατ’ εξουσιοδότηση κανονισμού (ΕΕ) 2015/61</w:t>
            </w:r>
          </w:p>
          <w:p w14:paraId="57846B40" w14:textId="046A5B1E"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Τα πιστωτικά ιδρύματα αναφέρουν εδώ εκροές που προκύπτουν από εξασφαλισμένες πιστοδοτήσεις και από συναλλαγές με όρους κεφαλαιαγοράς, όπως ορίζονται στο άρθρο 192 σημεία 2) και 3) του κανονισμού (ΕΕ) αριθ. 575/2013, όταν ο αντισυμβαλλόμενος είναι κεντρική τράπεζα και η παρεχόμενη εξασφάλιση συνίσταται σε στοιχεία ενεργητικού επιπέδου 2A και, αν δεν χρησιμοποιούνταν ως εξασφάλιση των εν λόγω συναλλαγών, θα μπορούσε να θεωρηθεί, σύμφωνα με τα άρθρα 7 και 11 του κατ’ εξουσιοδότηση κανονισμού (ΕΕ) 2015/61, ως ρευστό στοιχείο ενεργητικού.</w:t>
            </w:r>
          </w:p>
        </w:tc>
      </w:tr>
      <w:tr w:rsidR="00B47B7D" w:rsidRPr="000B6B22" w14:paraId="78210469" w14:textId="77777777" w:rsidTr="00454544">
        <w:tc>
          <w:tcPr>
            <w:tcW w:w="1457" w:type="dxa"/>
            <w:shd w:val="clear" w:color="auto" w:fill="auto"/>
            <w:vAlign w:val="center"/>
          </w:tcPr>
          <w:p w14:paraId="1A2A4388" w14:textId="0C805CB2"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0965</w:t>
            </w:r>
          </w:p>
        </w:tc>
        <w:tc>
          <w:tcPr>
            <w:tcW w:w="6946" w:type="dxa"/>
            <w:shd w:val="clear" w:color="auto" w:fill="auto"/>
          </w:tcPr>
          <w:p w14:paraId="1EDE4017"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1.2.1.3.1 των οποίων οι παρεχόμενες εξασφαλίσεις πληρούν τις λειτουργικές απαιτήσεις</w:t>
            </w:r>
          </w:p>
          <w:p w14:paraId="687C0036" w14:textId="5E27B920"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rPr>
              <w:t>Συναλλαγές του σημείου 1.2.1.3 όπου η εξασφάλιση,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w:t>
            </w:r>
          </w:p>
        </w:tc>
      </w:tr>
      <w:tr w:rsidR="00B47B7D" w:rsidRPr="000B6B22" w14:paraId="720E3203" w14:textId="77777777" w:rsidTr="00454544">
        <w:tc>
          <w:tcPr>
            <w:tcW w:w="1457" w:type="dxa"/>
            <w:shd w:val="clear" w:color="auto" w:fill="auto"/>
            <w:vAlign w:val="center"/>
          </w:tcPr>
          <w:p w14:paraId="25B32675" w14:textId="346800B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0970</w:t>
            </w:r>
          </w:p>
        </w:tc>
        <w:tc>
          <w:tcPr>
            <w:tcW w:w="6946" w:type="dxa"/>
            <w:shd w:val="clear" w:color="auto" w:fill="auto"/>
          </w:tcPr>
          <w:p w14:paraId="2D527E0F" w14:textId="77777777"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rPr>
              <w:t>1.2.1.4. εξασφαλίσεις με τίτλους επιπέδου 2Β από τιτλοποίηση (στεγαστικά δάνεια ή δάνεια για αγορά αυτοκινήτου, ΒΠΠ1)</w:t>
            </w:r>
          </w:p>
          <w:p w14:paraId="280FD9DB" w14:textId="7D5D6C47"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Άρθρο 28 παράγραφος 3 στοιχείο α) του κατ’ εξουσιοδότηση κανονισμού (ΕΕ) 2015/61.</w:t>
            </w:r>
          </w:p>
          <w:p w14:paraId="4D8B3F74" w14:textId="221371C6"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 xml:space="preserve">Τα πιστωτικά ιδρύματα αναφέρουν εδώ εκροές που προκύπτουν από εξασφαλισμένες πιστοδοτήσεις και από συναλλαγές με όρους </w:t>
            </w:r>
            <w:r>
              <w:rPr>
                <w:rFonts w:ascii="Times New Roman" w:hAnsi="Times New Roman"/>
                <w:sz w:val="24"/>
              </w:rPr>
              <w:lastRenderedPageBreak/>
              <w:t>κεφαλαιαγοράς, όπως ορίζονται στο άρθρο 192 σημεία 2) και 3) του κανονισμού (ΕΕ) αριθ. 575/2013, όταν ο αντισυμβαλλόμενος είναι κεντρική τράπεζα και η παρεχόμενη εξασφάλιση είναι εξασφάλιση με τίτλους από τιτλοποίηση επιπέδου 2Β που συνίστανται σε στεγαστικά δάνεια ή δάνεια για αγορά αυτοκινήτου βαθμίδας πιστωτικής ποιότητας 1 και πληρούν τις προϋποθέσεις που ορίζονται στο άρθρο 13 παράγραφος 2 στοιχείο β) σημεία i), ii) ή iv) και, αν δεν χρησιμοποιούνταν ως εξασφάλιση των εν λόγω συναλλαγών, θα μπορούσε να θεωρηθεί, σύμφωνα με τα άρθρα 7 και 13 του κατ’ εξουσιοδότηση κανονισμού (ΕΕ) 2015/61, ως ρευστό στοιχείο ενεργητικού.</w:t>
            </w:r>
          </w:p>
        </w:tc>
      </w:tr>
      <w:tr w:rsidR="00B47B7D" w:rsidRPr="000B6B22" w14:paraId="5CA0B9A2" w14:textId="77777777" w:rsidTr="00454544">
        <w:tc>
          <w:tcPr>
            <w:tcW w:w="1457" w:type="dxa"/>
            <w:shd w:val="clear" w:color="auto" w:fill="auto"/>
            <w:vAlign w:val="center"/>
          </w:tcPr>
          <w:p w14:paraId="25A18B03" w14:textId="03822D08"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lastRenderedPageBreak/>
              <w:t>0975</w:t>
            </w:r>
          </w:p>
        </w:tc>
        <w:tc>
          <w:tcPr>
            <w:tcW w:w="6946" w:type="dxa"/>
            <w:shd w:val="clear" w:color="auto" w:fill="auto"/>
          </w:tcPr>
          <w:p w14:paraId="69B45E4F"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1.2.1.4.1 των οποίων οι παρεχόμενες εξασφαλίσεις πληρούν τις λειτουργικές απαιτήσεις</w:t>
            </w:r>
          </w:p>
          <w:p w14:paraId="686DF018" w14:textId="01646E30"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rPr>
              <w:t>Συναλλαγές του σημείου 1.2.1.4 όπου η εξασφάλιση,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w:t>
            </w:r>
          </w:p>
        </w:tc>
      </w:tr>
      <w:tr w:rsidR="00B47B7D" w:rsidRPr="000B6B22" w14:paraId="5CB801F5" w14:textId="77777777" w:rsidTr="00454544">
        <w:tc>
          <w:tcPr>
            <w:tcW w:w="1457" w:type="dxa"/>
            <w:shd w:val="clear" w:color="auto" w:fill="auto"/>
            <w:vAlign w:val="center"/>
          </w:tcPr>
          <w:p w14:paraId="1CFE71CB" w14:textId="47FB402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0980</w:t>
            </w:r>
          </w:p>
        </w:tc>
        <w:tc>
          <w:tcPr>
            <w:tcW w:w="6946" w:type="dxa"/>
            <w:shd w:val="clear" w:color="auto" w:fill="auto"/>
          </w:tcPr>
          <w:p w14:paraId="4BFD9ED8"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1.2.1.5. καλυμμένα ομόλογα επιπέδου 2Β</w:t>
            </w:r>
          </w:p>
          <w:p w14:paraId="7CADF692" w14:textId="313B983F"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rPr>
              <w:t>Άρθρο 28 παράγραφος 3 στοιχείο α) του κατ’ εξουσιοδότηση κανονισμού (ΕΕ) 2015/61</w:t>
            </w:r>
          </w:p>
          <w:p w14:paraId="02A3B088" w14:textId="4F44668F"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Τα πιστωτικά ιδρύματα αναφέρουν εδώ εκροές που προκύπτουν από εξασφαλισμένες πιστοδοτήσεις και από συναλλαγές με όρους κεφαλαιαγοράς, όπως ορίζονται στο άρθρο 192 σημεία 2) και 3) του κανονισμού (ΕΕ) αριθ. 575/2013, όταν ο αντισυμβαλλόμενος είναι κεντρική τράπεζα και η παρεχόμενη εξασφάλιση συνίσταται σε υψηλής ποιότητας καλυμμένα ομόλογα επιπέδου 2Β που πληρούν τις προϋποθέσεις που ορίζονται στο άρθρο 12 παράγραφος 1 στοιχείο ε) και, αν δεν χρησιμοποιούνταν ως εξασφάλιση των εν λόγω συναλλαγών, θα μπορούσε να θεωρηθεί, σύμφωνα με τα άρθρα 7 και 12 του κατ’ εξουσιοδότηση κανονισμού (ΕΕ) 2015/61, ως ρευστό στοιχείο ενεργητικού.</w:t>
            </w:r>
          </w:p>
        </w:tc>
      </w:tr>
      <w:tr w:rsidR="00B47B7D" w:rsidRPr="000B6B22" w14:paraId="11E62294" w14:textId="77777777" w:rsidTr="00454544">
        <w:tc>
          <w:tcPr>
            <w:tcW w:w="1457" w:type="dxa"/>
            <w:shd w:val="clear" w:color="auto" w:fill="auto"/>
            <w:vAlign w:val="center"/>
          </w:tcPr>
          <w:p w14:paraId="1A3008D2" w14:textId="46C36E41"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0985</w:t>
            </w:r>
          </w:p>
        </w:tc>
        <w:tc>
          <w:tcPr>
            <w:tcW w:w="6946" w:type="dxa"/>
            <w:shd w:val="clear" w:color="auto" w:fill="auto"/>
          </w:tcPr>
          <w:p w14:paraId="0AAE2468"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1.2.1.5.1 των οποίων οι παρεχόμενες εξασφαλίσεις πληρούν τις λειτουργικές απαιτήσεις</w:t>
            </w:r>
          </w:p>
          <w:p w14:paraId="77DA6F20" w14:textId="74CD76B4"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rPr>
              <w:t>Συναλλαγές του σημείου 1.2.1.5 όπου η εξασφάλιση,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w:t>
            </w:r>
          </w:p>
        </w:tc>
      </w:tr>
      <w:tr w:rsidR="00B47B7D" w:rsidRPr="000B6B22" w14:paraId="51506DEF" w14:textId="77777777" w:rsidTr="00454544">
        <w:tc>
          <w:tcPr>
            <w:tcW w:w="1457" w:type="dxa"/>
            <w:shd w:val="clear" w:color="auto" w:fill="auto"/>
            <w:vAlign w:val="center"/>
          </w:tcPr>
          <w:p w14:paraId="44C9364C" w14:textId="75FA896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0990</w:t>
            </w:r>
          </w:p>
        </w:tc>
        <w:tc>
          <w:tcPr>
            <w:tcW w:w="6946" w:type="dxa"/>
            <w:shd w:val="clear" w:color="auto" w:fill="auto"/>
          </w:tcPr>
          <w:p w14:paraId="63AB89C5" w14:textId="77777777" w:rsidR="006E48EA" w:rsidRPr="000B6B22" w:rsidRDefault="006E48EA" w:rsidP="009D4EFF">
            <w:pPr>
              <w:pStyle w:val="TableParagraph"/>
              <w:spacing w:after="120"/>
              <w:ind w:right="103"/>
              <w:jc w:val="both"/>
              <w:rPr>
                <w:rFonts w:ascii="Times New Roman" w:eastAsia="Verdana" w:hAnsi="Times New Roman"/>
                <w:sz w:val="24"/>
                <w:szCs w:val="24"/>
              </w:rPr>
            </w:pPr>
            <w:r>
              <w:rPr>
                <w:rFonts w:ascii="Times New Roman" w:hAnsi="Times New Roman"/>
                <w:b/>
                <w:sz w:val="24"/>
              </w:rPr>
              <w:t>1.2.1.6. εξασφαλίσεις με τίτλους επιπέδου 2Β από τιτλοποίηση (εμπορικά δάνεια ή δάνεια σε ιδιώτες, κράτος μέλος, ΒΠΠ1)</w:t>
            </w:r>
          </w:p>
          <w:p w14:paraId="60BEF7D5" w14:textId="57DDAAA7"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Άρθρο 28 παράγραφος 3 στοιχείο α) του κατ’ εξουσιοδότηση κανονισμού (ΕΕ) 2015/61</w:t>
            </w:r>
          </w:p>
          <w:p w14:paraId="5AC4F74F" w14:textId="32F76DA8"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 xml:space="preserve">Τα πιστωτικά ιδρύματα αναφέρουν εδώ εκροές που προκύπτουν από εξασφαλισμένες πιστοδοτήσεις και από συναλλαγές με όρους κεφαλαιαγοράς, όπως ορίζονται στο άρθρο 192 σημεία 2) και 3) του </w:t>
            </w:r>
            <w:r>
              <w:rPr>
                <w:rFonts w:ascii="Times New Roman" w:hAnsi="Times New Roman"/>
                <w:sz w:val="24"/>
              </w:rPr>
              <w:lastRenderedPageBreak/>
              <w:t>κανονισμού (ΕΕ) αριθ. 575/2013, όταν ο αντισυμβαλλόμενος είναι κεντρική τράπεζα και η παρεχόμενη εξασφάλιση είναι εξασφάλιση με τίτλους από τιτλοποίηση επιπέδου 2Β που συνίστανται σε εμπορικά δάνεια, χρηματοδοτικές μισθώσεις και πιστωτικές διευκολύνσεις χορηγούμενες σε επιχειρήσεις ή δάνεια και πιστωτικές διευκολύνσεις σε ιδιώτες κράτους μέλους και βαθμίδας πιστωτικής ποιότητας 1 και πληρούν τις προϋποθέσεις που ορίζονται στο άρθρο 13 παράγραφος 2 στοιχείο ζ) σημεία iii) ή v) και, αν δεν χρησιμοποιούνταν ως εξασφάλιση των εν λόγω συναλλαγών, θα μπορούσε να θεωρηθεί, σύμφωνα με τα άρθρα 7 και 13 του κατ’ εξουσιοδότηση κανονισμού (ΕΕ) 2015/61, ως ρευστό στοιχείο ενεργητικού.</w:t>
            </w:r>
          </w:p>
        </w:tc>
      </w:tr>
      <w:tr w:rsidR="00B47B7D" w:rsidRPr="000B6B22" w14:paraId="2D57ADAB" w14:textId="77777777" w:rsidTr="00454544">
        <w:tc>
          <w:tcPr>
            <w:tcW w:w="1457" w:type="dxa"/>
            <w:shd w:val="clear" w:color="auto" w:fill="auto"/>
            <w:vAlign w:val="center"/>
          </w:tcPr>
          <w:p w14:paraId="15965AAB" w14:textId="3EF84A3F"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lastRenderedPageBreak/>
              <w:t>0995</w:t>
            </w:r>
          </w:p>
        </w:tc>
        <w:tc>
          <w:tcPr>
            <w:tcW w:w="6946" w:type="dxa"/>
            <w:shd w:val="clear" w:color="auto" w:fill="auto"/>
          </w:tcPr>
          <w:p w14:paraId="450B2BC9"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1.2.1.6.1 των οποίων οι παρεχόμενες εξασφαλίσεις πληρούν τις λειτουργικές απαιτήσεις</w:t>
            </w:r>
          </w:p>
          <w:p w14:paraId="625D38C4" w14:textId="13B6C4D2"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rPr>
              <w:t>Συναλλαγές του σημείου 1.2.1.6 όπου η εξασφάλιση,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w:t>
            </w:r>
          </w:p>
        </w:tc>
      </w:tr>
      <w:tr w:rsidR="00B47B7D" w:rsidRPr="000B6B22" w14:paraId="70F02B1C" w14:textId="77777777" w:rsidTr="00454544">
        <w:tc>
          <w:tcPr>
            <w:tcW w:w="1457" w:type="dxa"/>
            <w:shd w:val="clear" w:color="auto" w:fill="auto"/>
            <w:vAlign w:val="center"/>
          </w:tcPr>
          <w:p w14:paraId="17AE334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1000</w:t>
            </w:r>
          </w:p>
        </w:tc>
        <w:tc>
          <w:tcPr>
            <w:tcW w:w="6946" w:type="dxa"/>
            <w:shd w:val="clear" w:color="auto" w:fill="auto"/>
          </w:tcPr>
          <w:p w14:paraId="1E245646"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1.2.1.7. εξασφαλίσεις με άλλα στοιχεία ενεργητικού επιπέδου 2B</w:t>
            </w:r>
          </w:p>
          <w:p w14:paraId="0F032674" w14:textId="47AC751F"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Άρθρο 28 παράγραφος 3 στοιχείο α) του κατ’ εξουσιοδότηση κανονισμού (ΕΕ) 2015/61</w:t>
            </w:r>
          </w:p>
          <w:p w14:paraId="61C580EF" w14:textId="493C7F48"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Τα πιστωτικά ιδρύματα αναφέρουν εδώ εκροές που προκύπτουν από εξασφαλισμένες πιστοδοτήσεις και από συναλλαγές με όρους κεφαλαιαγοράς, όπως ορίζονται στο άρθρο 192 σημεία 2) και 3) του κανονισμού (ΕΕ) αριθ. 575/2013, όταν ο αντισυμβαλλόμενος είναι κεντρική τράπεζα και η παρεχόμενη εξασφάλιση συνίσταται σε στοιχείο ενεργητικού επιπέδου 2Β που δεν αποτυπώνεται ανωτέρω και, αν δεν χρησιμοποιούνταν ως εξασφάλιση των εν λόγω συναλλαγών, θα μπορούσε να θεωρηθεί, σύμφωνα με τα άρθρα 7 και 12 του κατ’ εξουσιοδότηση κανονισμού (ΕΕ) 2015/61, ως ρευστό στοιχείο ενεργητικού.</w:t>
            </w:r>
          </w:p>
        </w:tc>
      </w:tr>
      <w:tr w:rsidR="00B47B7D" w:rsidRPr="000B6B22" w14:paraId="5ABFD3C6" w14:textId="77777777" w:rsidTr="00454544">
        <w:tc>
          <w:tcPr>
            <w:tcW w:w="1457" w:type="dxa"/>
            <w:shd w:val="clear" w:color="auto" w:fill="auto"/>
            <w:vAlign w:val="center"/>
          </w:tcPr>
          <w:p w14:paraId="48B2CCA7"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t>1005</w:t>
            </w:r>
          </w:p>
        </w:tc>
        <w:tc>
          <w:tcPr>
            <w:tcW w:w="6946" w:type="dxa"/>
            <w:shd w:val="clear" w:color="auto" w:fill="auto"/>
          </w:tcPr>
          <w:p w14:paraId="621AC223"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1.2.1.7.1 των οποίων οι παρεχόμενες εξασφαλίσεις πληρούν τις λειτουργικές απαιτήσεις</w:t>
            </w:r>
          </w:p>
          <w:p w14:paraId="26F9DDD4" w14:textId="602195BB"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rPr>
              <w:t>Συναλλαγές του σημείου 1.2.1.7 όπου η εξασφάλιση,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w:t>
            </w:r>
          </w:p>
        </w:tc>
      </w:tr>
      <w:tr w:rsidR="00B47B7D" w:rsidRPr="000B6B22" w14:paraId="7CD1856D" w14:textId="77777777" w:rsidTr="00454544">
        <w:tc>
          <w:tcPr>
            <w:tcW w:w="1457" w:type="dxa"/>
            <w:shd w:val="clear" w:color="auto" w:fill="auto"/>
            <w:vAlign w:val="center"/>
          </w:tcPr>
          <w:p w14:paraId="0C2C30E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1010</w:t>
            </w:r>
          </w:p>
        </w:tc>
        <w:tc>
          <w:tcPr>
            <w:tcW w:w="6946" w:type="dxa"/>
            <w:shd w:val="clear" w:color="auto" w:fill="auto"/>
          </w:tcPr>
          <w:p w14:paraId="72ACE489" w14:textId="77777777" w:rsidR="006E48EA" w:rsidRPr="000B6B22" w:rsidRDefault="006E48EA" w:rsidP="009D4EFF">
            <w:pPr>
              <w:pStyle w:val="TableParagraph"/>
              <w:spacing w:after="120"/>
              <w:jc w:val="both"/>
              <w:rPr>
                <w:rFonts w:ascii="Times New Roman" w:hAnsi="Times New Roman"/>
                <w:b/>
                <w:sz w:val="24"/>
                <w:szCs w:val="24"/>
                <w:u w:color="000000"/>
              </w:rPr>
            </w:pPr>
            <w:r>
              <w:rPr>
                <w:rFonts w:ascii="Times New Roman" w:hAnsi="Times New Roman"/>
                <w:b/>
                <w:sz w:val="24"/>
                <w:u w:color="000000"/>
              </w:rPr>
              <w:t>1.2.1.8. εξασφαλίσεις με μη ρευστά στοιχεία ενεργητικού</w:t>
            </w:r>
          </w:p>
          <w:p w14:paraId="0DC05AAB" w14:textId="65A957E5" w:rsidR="006D2B0E" w:rsidRPr="000B6B22" w:rsidRDefault="00DD4C72" w:rsidP="009D4EFF">
            <w:pPr>
              <w:pStyle w:val="BodyText"/>
              <w:spacing w:after="120"/>
              <w:ind w:left="0" w:firstLine="0"/>
              <w:jc w:val="both"/>
              <w:rPr>
                <w:rFonts w:ascii="Times New Roman" w:eastAsia="Calibri" w:hAnsi="Times New Roman"/>
                <w:sz w:val="24"/>
                <w:szCs w:val="24"/>
              </w:rPr>
            </w:pPr>
            <w:r>
              <w:rPr>
                <w:rFonts w:ascii="Times New Roman" w:hAnsi="Times New Roman"/>
                <w:sz w:val="24"/>
              </w:rPr>
              <w:t>Άρθρο 28 παράγραφος 3 στοιχείο α) του κατ’ εξουσιοδότηση κανονισμού (ΕΕ) 2015/61</w:t>
            </w:r>
          </w:p>
          <w:p w14:paraId="5E9B09BD" w14:textId="686A22B9" w:rsidR="006E48EA" w:rsidRPr="000B6B22" w:rsidRDefault="006E48EA" w:rsidP="009D4EFF">
            <w:pPr>
              <w:pStyle w:val="BodyText"/>
              <w:spacing w:after="120"/>
              <w:ind w:left="0" w:firstLine="0"/>
              <w:jc w:val="both"/>
              <w:rPr>
                <w:rFonts w:ascii="Times New Roman" w:hAnsi="Times New Roman"/>
                <w:sz w:val="24"/>
                <w:szCs w:val="24"/>
              </w:rPr>
            </w:pPr>
            <w:r>
              <w:rPr>
                <w:rFonts w:ascii="Times New Roman" w:hAnsi="Times New Roman"/>
                <w:sz w:val="24"/>
              </w:rPr>
              <w:t xml:space="preserve">Τα πιστωτικά ιδρύματα αναφέρουν εδώ εκροές που προκύπτουν από εξασφαλισμένες πιστοδοτήσεις και από συναλλαγές με όρους κεφαλαιαγοράς, όπως ορίζονται στο άρθρο 192 σημεία 2) και 3) του κανονισμού (ΕΕ) αριθ. 575/2013, όταν ο αντισυμβαλλόμενος είναι </w:t>
            </w:r>
            <w:r>
              <w:rPr>
                <w:rFonts w:ascii="Times New Roman" w:hAnsi="Times New Roman"/>
                <w:sz w:val="24"/>
              </w:rPr>
              <w:lastRenderedPageBreak/>
              <w:t>κεντρική τράπεζα και η παρεχόμενη εξασφάλιση συνίσταται σε μη ρευστά στοιχεία ενεργητικού.</w:t>
            </w:r>
          </w:p>
        </w:tc>
      </w:tr>
      <w:tr w:rsidR="00B47B7D" w:rsidRPr="000B6B22" w14:paraId="776EAA73" w14:textId="77777777" w:rsidTr="00454544">
        <w:tc>
          <w:tcPr>
            <w:tcW w:w="1457" w:type="dxa"/>
            <w:shd w:val="clear" w:color="auto" w:fill="auto"/>
            <w:vAlign w:val="center"/>
          </w:tcPr>
          <w:p w14:paraId="0CF8AAC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1020</w:t>
            </w:r>
          </w:p>
        </w:tc>
        <w:tc>
          <w:tcPr>
            <w:tcW w:w="6946" w:type="dxa"/>
            <w:shd w:val="clear" w:color="auto" w:fill="auto"/>
          </w:tcPr>
          <w:p w14:paraId="60BBC909"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 Ο αντισυμβαλλόμενος δεν είναι κεντρική τράπεζα</w:t>
            </w:r>
          </w:p>
          <w:p w14:paraId="638EC6D4" w14:textId="2C9DE175"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Τα πιστωτικά ιδρύματα αναφέρουν εδώ εκροές που προκύπτουν από εξασφαλισμένες πιστοδοτήσεις και από συναλλαγές με όρους κεφαλαιαγοράς, όπως ορίζονται στο άρθρο 192 σημεία 2) και 3) του κανονισμού (ΕΕ) αριθ. 575/2013, όταν ο αντισυμβαλλόμενος δεν είναι κεντρική τράπεζα.</w:t>
            </w:r>
          </w:p>
        </w:tc>
      </w:tr>
      <w:tr w:rsidR="00B47B7D" w:rsidRPr="000B6B22" w14:paraId="295EB75C" w14:textId="77777777" w:rsidTr="00454544">
        <w:tc>
          <w:tcPr>
            <w:tcW w:w="1457" w:type="dxa"/>
            <w:shd w:val="clear" w:color="auto" w:fill="auto"/>
            <w:vAlign w:val="center"/>
          </w:tcPr>
          <w:p w14:paraId="6B8DEC2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1030</w:t>
            </w:r>
          </w:p>
        </w:tc>
        <w:tc>
          <w:tcPr>
            <w:tcW w:w="6946" w:type="dxa"/>
            <w:shd w:val="clear" w:color="auto" w:fill="auto"/>
          </w:tcPr>
          <w:p w14:paraId="7CA4B3EA" w14:textId="5EC29DB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1.2.2.1. εξασφαλίσεις με στοιχεία ενεργητικού επιπέδου 1, εξαιρουμένων των ΕΥΠ καλυμμένων ομολόγων</w:t>
            </w:r>
          </w:p>
          <w:p w14:paraId="1D5B25E4" w14:textId="0E9C752E"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rPr>
              <w:t>Άρθρο 28 παράγραφος 3 στοιχείο α) του κατ’ εξουσιοδότηση κανονισμού (ΕΕ) 2015/61.</w:t>
            </w:r>
          </w:p>
          <w:p w14:paraId="64303B45" w14:textId="22C1182B"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Τα πιστωτικά ιδρύματα αναφέρουν εδώ εκροές που προκύπτουν από εξασφαλισμένες πιστοδοτήσεις και από συναλλαγές με όρους κεφαλαιαγοράς, όπως ορίζονται στο άρθρο 192 σημεία 2) και 3) του κανονισμού (ΕΕ) αριθ. 575/2013, όταν ο αντισυμβαλλόμενος δεν είναι κεντρική τράπεζα και η παρεχόμενη εξασφάλιση συνίσταται σε στοιχεία ενεργητικού επιπέδου 1, εξαιρουμένων των εξαιρετικά υψηλής ποιότητας καλυμμένων ομολόγων και, αν δεν χρησιμοποιούνταν ως εξασφάλιση των εν λόγω συναλλαγών, θα μπορούσε να θεωρηθεί, σύμφωνα με τα άρθρα 7 και 10 του κατ’ εξουσιοδότηση κανονισμού (ΕΕ) 2015/61, ως ρευστό στοιχείο ενεργητικού.</w:t>
            </w:r>
          </w:p>
        </w:tc>
      </w:tr>
      <w:tr w:rsidR="00B47B7D" w:rsidRPr="000B6B22" w14:paraId="07E41640" w14:textId="77777777" w:rsidTr="00454544">
        <w:tc>
          <w:tcPr>
            <w:tcW w:w="1457" w:type="dxa"/>
            <w:shd w:val="clear" w:color="auto" w:fill="auto"/>
            <w:vAlign w:val="center"/>
          </w:tcPr>
          <w:p w14:paraId="31AD107A"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t>1035</w:t>
            </w:r>
          </w:p>
        </w:tc>
        <w:tc>
          <w:tcPr>
            <w:tcW w:w="6946" w:type="dxa"/>
            <w:shd w:val="clear" w:color="auto" w:fill="auto"/>
          </w:tcPr>
          <w:p w14:paraId="4679AA99"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1.2.2.1.1. των οποίων οι παρεχόμενες εξασφαλίσεις πληρούν τις λειτουργικές απαιτήσεις</w:t>
            </w:r>
          </w:p>
          <w:p w14:paraId="441C2C80" w14:textId="22E51456"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rPr>
              <w:t>Συναλλαγές του σημείου 1.2.2.1 όπου η εξασφάλιση,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w:t>
            </w:r>
          </w:p>
        </w:tc>
      </w:tr>
      <w:tr w:rsidR="00B47B7D" w:rsidRPr="000B6B22" w14:paraId="121470D3" w14:textId="77777777" w:rsidTr="00454544">
        <w:tc>
          <w:tcPr>
            <w:tcW w:w="1457" w:type="dxa"/>
            <w:shd w:val="clear" w:color="auto" w:fill="auto"/>
            <w:vAlign w:val="center"/>
          </w:tcPr>
          <w:p w14:paraId="5436505E"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1040</w:t>
            </w:r>
          </w:p>
        </w:tc>
        <w:tc>
          <w:tcPr>
            <w:tcW w:w="6946" w:type="dxa"/>
            <w:shd w:val="clear" w:color="auto" w:fill="auto"/>
          </w:tcPr>
          <w:p w14:paraId="5CF929C2"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1.2.2.2. εξασφαλίσεις με ΕΥΠ καλυμμένα ομόλογα επιπέδου 1</w:t>
            </w:r>
          </w:p>
          <w:p w14:paraId="403E5430" w14:textId="32BFE65A"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Άρθρο 28 παράγραφος 3 στοιχείο β) του κατ’ εξουσιοδότηση κανονισμού (ΕΕ) 2015/61</w:t>
            </w:r>
          </w:p>
          <w:p w14:paraId="0B1DD22B" w14:textId="79696A89"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Τα πιστωτικά ιδρύματα αναφέρουν εδώ εκροές που προκύπτουν από εξασφαλισμένες πιστοδοτήσεις και από συναλλαγές με όρους κεφαλαιαγοράς, όπως ορίζονται στο άρθρο 192 σημεία 2) και 3) του κανονισμού (ΕΕ) αριθ. 575/2013, όταν ο αντισυμβαλλόμενος δεν είναι κεντρική τράπεζα και η παρεχόμενη εξασφάλιση συνίσταται σε στοιχεία ενεργητικού επιπέδου 1 που είναι εξαιρετικά υψηλής ποιότητας καλυμμένα ομόλογα και, αν δεν χρησιμοποιούνταν ως εξασφάλιση των εν λόγω συναλλαγών, θα μπορούσε να θεωρηθεί, σύμφωνα με τα άρθρα 7 και 10 του κατ’ εξουσιοδότηση κανονισμού (ΕΕ) 2015/61, ως ρευστό στοιχείο ενεργητικού.</w:t>
            </w:r>
          </w:p>
        </w:tc>
      </w:tr>
      <w:tr w:rsidR="00B47B7D" w:rsidRPr="000B6B22" w14:paraId="3CF07551" w14:textId="77777777" w:rsidTr="00454544">
        <w:tc>
          <w:tcPr>
            <w:tcW w:w="1457" w:type="dxa"/>
            <w:shd w:val="clear" w:color="auto" w:fill="auto"/>
            <w:vAlign w:val="center"/>
          </w:tcPr>
          <w:p w14:paraId="353900C8"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t>1045</w:t>
            </w:r>
          </w:p>
        </w:tc>
        <w:tc>
          <w:tcPr>
            <w:tcW w:w="6946" w:type="dxa"/>
            <w:shd w:val="clear" w:color="auto" w:fill="auto"/>
          </w:tcPr>
          <w:p w14:paraId="30D523C1"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1.2.2.2.1. των οποίων οι παρεχόμενες εξασφαλίσεις πληρούν τις λειτουργικές απαιτήσεις</w:t>
            </w:r>
          </w:p>
          <w:p w14:paraId="790B2DFF" w14:textId="222555E4" w:rsidR="006E48EA" w:rsidRPr="000B6B22" w:rsidRDefault="0065468A" w:rsidP="009D4EFF">
            <w:pPr>
              <w:pStyle w:val="TableParagraph"/>
              <w:spacing w:after="120"/>
              <w:jc w:val="both"/>
              <w:rPr>
                <w:rFonts w:ascii="Times New Roman" w:eastAsia="Verdana" w:hAnsi="Times New Roman"/>
                <w:sz w:val="24"/>
                <w:szCs w:val="24"/>
              </w:rPr>
            </w:pPr>
            <w:r>
              <w:rPr>
                <w:rFonts w:ascii="Times New Roman" w:hAnsi="Times New Roman"/>
                <w:sz w:val="24"/>
              </w:rPr>
              <w:lastRenderedPageBreak/>
              <w:t>Συναλλαγές του σημείου 1.2.2.2 όπου η εξασφάλιση,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w:t>
            </w:r>
          </w:p>
        </w:tc>
      </w:tr>
      <w:tr w:rsidR="00B47B7D" w:rsidRPr="000B6B22" w14:paraId="66A42B89" w14:textId="77777777" w:rsidTr="00454544">
        <w:tc>
          <w:tcPr>
            <w:tcW w:w="1457" w:type="dxa"/>
            <w:shd w:val="clear" w:color="auto" w:fill="auto"/>
            <w:vAlign w:val="center"/>
          </w:tcPr>
          <w:p w14:paraId="6FD16AA2"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1050</w:t>
            </w:r>
          </w:p>
        </w:tc>
        <w:tc>
          <w:tcPr>
            <w:tcW w:w="6946" w:type="dxa"/>
            <w:shd w:val="clear" w:color="auto" w:fill="auto"/>
          </w:tcPr>
          <w:p w14:paraId="783484E8"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1.2.2.3. εξασφαλίσεις με στοιχεία ενεργητικού επιπέδου 2Α</w:t>
            </w:r>
          </w:p>
          <w:p w14:paraId="360D55B0" w14:textId="3B4637F2"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rPr>
              <w:t>Άρθρο 28 παράγραφος 3 στοιχείο γ) του κατ’ εξουσιοδότηση κανονισμού (ΕΕ) 2015/61</w:t>
            </w:r>
          </w:p>
          <w:p w14:paraId="7C83C832" w14:textId="0FDD1E14"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Τα πιστωτικά ιδρύματα αναφέρουν εδώ εκροές που προκύπτουν από εξασφαλισμένες πιστοδοτήσεις και από συναλλαγές με όρους κεφαλαιαγοράς, όπως ορίζονται στο άρθρο 192 σημεία 2) και 3) του κανονισμού (ΕΕ) αριθ. 575/2013, όταν ο αντισυμβαλλόμενος δεν είναι κεντρική τράπεζα και η παρεχόμενη εξασφάλιση είναι εξασφάλιση επιπέδου 2A και, αν δεν χρησιμοποιούνταν ως εξασφάλιση των εν λόγω συναλλαγών, θα μπορούσε να θεωρηθεί, σύμφωνα με τα άρθρα 7 και 11 του κατ’ εξουσιοδότηση κανονισμού (ΕΕ) 2015/61, ως ρευστό στοιχείο ενεργητικού.</w:t>
            </w:r>
          </w:p>
        </w:tc>
      </w:tr>
      <w:tr w:rsidR="00B47B7D" w:rsidRPr="000B6B22" w14:paraId="14750076" w14:textId="77777777" w:rsidTr="00454544">
        <w:tc>
          <w:tcPr>
            <w:tcW w:w="1457" w:type="dxa"/>
            <w:shd w:val="clear" w:color="auto" w:fill="auto"/>
            <w:vAlign w:val="center"/>
          </w:tcPr>
          <w:p w14:paraId="43270CE6"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t>1055</w:t>
            </w:r>
          </w:p>
        </w:tc>
        <w:tc>
          <w:tcPr>
            <w:tcW w:w="6946" w:type="dxa"/>
            <w:shd w:val="clear" w:color="auto" w:fill="auto"/>
          </w:tcPr>
          <w:p w14:paraId="0067096E"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1.2.2.3.1. των οποίων οι παρεχόμενες εξασφαλίσεις πληρούν τις λειτουργικές απαιτήσεις</w:t>
            </w:r>
          </w:p>
          <w:p w14:paraId="64F48A92" w14:textId="7006E676"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rPr>
              <w:t>Συναλλαγές του σημείου 1.2.2.3 όπου η εξασφάλιση,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w:t>
            </w:r>
          </w:p>
        </w:tc>
      </w:tr>
      <w:tr w:rsidR="00B47B7D" w:rsidRPr="000B6B22" w14:paraId="777DF558" w14:textId="77777777" w:rsidTr="00454544">
        <w:tc>
          <w:tcPr>
            <w:tcW w:w="1457" w:type="dxa"/>
            <w:shd w:val="clear" w:color="auto" w:fill="auto"/>
            <w:vAlign w:val="center"/>
          </w:tcPr>
          <w:p w14:paraId="679F7BF7"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1060</w:t>
            </w:r>
          </w:p>
        </w:tc>
        <w:tc>
          <w:tcPr>
            <w:tcW w:w="6946" w:type="dxa"/>
            <w:shd w:val="clear" w:color="auto" w:fill="auto"/>
          </w:tcPr>
          <w:p w14:paraId="474D3293" w14:textId="77777777"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rPr>
              <w:t>1.2.2.4. εξασφαλίσεις με τίτλους επιπέδου 2Β από τιτλοποίηση (στεγαστικά δάνεια ή δάνεια για αγορά αυτοκινήτου, ΒΠΠ1)</w:t>
            </w:r>
          </w:p>
          <w:p w14:paraId="6BE7989B" w14:textId="278D8E23"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Άρθρο 28 παράγραφος 3 στοιχείο δ) του κατ’ εξουσιοδότηση κανονισμού (ΕΕ) 2015/61</w:t>
            </w:r>
          </w:p>
          <w:p w14:paraId="730DE7AE" w14:textId="5936850B"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Τα πιστωτικά ιδρύματα αναφέρουν εδώ εκροές που προκύπτουν από εξασφαλισμένες πιστοδοτήσεις και από συναλλαγές με όρους κεφαλαιαγοράς, όπως ορίζονται στο άρθρο 192 σημεία 2) και 3) του κανονισμού (ΕΕ) αριθ. 575/2013, όταν ο αντισυμβαλλόμενος δεν είναι κεντρική τράπεζα και η παρεχόμενη εξασφάλιση είναι εξασφάλιση με τίτλους από τιτλοποίηση επιπέδου 2Β που συνίστανται σε στεγαστικά δάνεια ή δάνεια για αγορά αυτοκινήτου βαθμίδας πιστωτικής ποιότητας 1 και πληρούν τις προϋποθέσεις που ορίζονται στο άρθρο 13 παράγραφος 2 στοιχείο ζ) σημεία i), ii) ή iv) και, αν δεν χρησιμοποιούνταν ως εξασφάλιση των εν λόγω συναλλαγών, θα μπορούσε να θεωρηθεί, σύμφωνα με τα άρθρα 7 και 13 του κατ’ εξουσιοδότηση κανονισμού (ΕΕ) 2015/61, ως ρευστό στοιχείο ενεργητικού.</w:t>
            </w:r>
          </w:p>
        </w:tc>
      </w:tr>
      <w:tr w:rsidR="00B47B7D" w:rsidRPr="000B6B22" w14:paraId="22145EE0" w14:textId="77777777" w:rsidTr="00454544">
        <w:tc>
          <w:tcPr>
            <w:tcW w:w="1457" w:type="dxa"/>
            <w:shd w:val="clear" w:color="auto" w:fill="auto"/>
            <w:vAlign w:val="center"/>
          </w:tcPr>
          <w:p w14:paraId="363A29FB"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t>1065</w:t>
            </w:r>
          </w:p>
        </w:tc>
        <w:tc>
          <w:tcPr>
            <w:tcW w:w="6946" w:type="dxa"/>
            <w:shd w:val="clear" w:color="auto" w:fill="auto"/>
          </w:tcPr>
          <w:p w14:paraId="1141CECA"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1.2.2.4.1. των οποίων οι παρεχόμενες εξασφαλίσεις πληρούν τις λειτουργικές απαιτήσεις</w:t>
            </w:r>
          </w:p>
          <w:p w14:paraId="32207424" w14:textId="55271E6A"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rPr>
              <w:t xml:space="preserve">Συναλλαγές του σημείου 1.2.2.4 όπου η εξασφάλιση, αν δεν χρησιμοποιούνταν ως εξασφάλιση των εν λόγω συναλλαγών, θα μπορούσε να θεωρηθεί, σύμφωνα με το άρθρο 8 του κατ’ </w:t>
            </w:r>
            <w:r>
              <w:rPr>
                <w:rFonts w:ascii="Times New Roman" w:hAnsi="Times New Roman"/>
                <w:sz w:val="24"/>
              </w:rPr>
              <w:lastRenderedPageBreak/>
              <w:t>εξουσιοδότηση κανονισμού (ΕΕ) 2015/61, ως ρευστό στοιχείο ενεργητικού.</w:t>
            </w:r>
          </w:p>
        </w:tc>
      </w:tr>
      <w:tr w:rsidR="00B47B7D" w:rsidRPr="000B6B22" w14:paraId="38500F6B" w14:textId="77777777" w:rsidTr="00454544">
        <w:tc>
          <w:tcPr>
            <w:tcW w:w="1457" w:type="dxa"/>
            <w:shd w:val="clear" w:color="auto" w:fill="auto"/>
            <w:vAlign w:val="center"/>
          </w:tcPr>
          <w:p w14:paraId="02886A08"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1070</w:t>
            </w:r>
          </w:p>
        </w:tc>
        <w:tc>
          <w:tcPr>
            <w:tcW w:w="6946" w:type="dxa"/>
            <w:shd w:val="clear" w:color="auto" w:fill="auto"/>
          </w:tcPr>
          <w:p w14:paraId="4772D73E"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1.2.2.5. καλυμμένα ομόλογα επιπέδου 2Β</w:t>
            </w:r>
          </w:p>
          <w:p w14:paraId="077A77EB" w14:textId="587FB44B"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Άρθρο 28 παράγραφος 3 στοιχείο ε) του κατ’ εξουσιοδότηση κανονισμού (ΕΕ) 2015/61</w:t>
            </w:r>
          </w:p>
          <w:p w14:paraId="27D88416" w14:textId="19D824D6"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Τα πιστωτικά ιδρύματα αναφέρουν εδώ εκροές που προκύπτουν από εξασφαλισμένες πιστοδοτήσεις και από συναλλαγές με όρους κεφαλαιαγοράς, όπως ορίζονται στο άρθρο 192 σημεία 2) και 3) του κανονισμού (ΕΕ) αριθ. 575/2013, όταν ο αντισυμβαλλόμενος δεν είναι κεντρική τράπεζα και η παρεχόμενη εξασφάλιση συνίσταται σε υψηλής ποιότητας καλυμμένα ομόλογα επιπέδου 2Β που πληρούν τις προϋποθέσεις που ορίζονται στο άρθρο 12 παράγραφος 1 στοιχείο ε) και, αν δεν χρησιμοποιούνταν ως εξασφάλιση των εν λόγω συναλλαγών, θα μπορούσε να θεωρηθεί, σύμφωνα με τα άρθρα 7 και 12 του κατ’ εξουσιοδότηση κανονισμού (ΕΕ) 2015/61, ως ρευστό στοιχείο ενεργητικού.</w:t>
            </w:r>
          </w:p>
        </w:tc>
      </w:tr>
      <w:tr w:rsidR="00B47B7D" w:rsidRPr="000B6B22" w14:paraId="67521704" w14:textId="77777777" w:rsidTr="00454544">
        <w:tc>
          <w:tcPr>
            <w:tcW w:w="1457" w:type="dxa"/>
            <w:shd w:val="clear" w:color="auto" w:fill="auto"/>
            <w:vAlign w:val="center"/>
          </w:tcPr>
          <w:p w14:paraId="726C5269"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t>1075</w:t>
            </w:r>
          </w:p>
        </w:tc>
        <w:tc>
          <w:tcPr>
            <w:tcW w:w="6946" w:type="dxa"/>
            <w:shd w:val="clear" w:color="auto" w:fill="auto"/>
          </w:tcPr>
          <w:p w14:paraId="34DB03BC"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1.2.2.5.1. των οποίων οι παρεχόμενες εξασφαλίσεις πληρούν τις λειτουργικές απαιτήσεις</w:t>
            </w:r>
          </w:p>
          <w:p w14:paraId="7BEA51D3" w14:textId="70528F8E"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rPr>
              <w:t>Συναλλαγές του σημείου 1.2.2.5 όπου η εξασφάλιση,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w:t>
            </w:r>
          </w:p>
        </w:tc>
      </w:tr>
      <w:tr w:rsidR="00B47B7D" w:rsidRPr="000B6B22" w14:paraId="74D9C107" w14:textId="77777777" w:rsidTr="00454544">
        <w:tc>
          <w:tcPr>
            <w:tcW w:w="1457" w:type="dxa"/>
            <w:shd w:val="clear" w:color="auto" w:fill="auto"/>
            <w:vAlign w:val="center"/>
          </w:tcPr>
          <w:p w14:paraId="5349EEF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1080</w:t>
            </w:r>
          </w:p>
        </w:tc>
        <w:tc>
          <w:tcPr>
            <w:tcW w:w="6946" w:type="dxa"/>
            <w:shd w:val="clear" w:color="auto" w:fill="auto"/>
          </w:tcPr>
          <w:p w14:paraId="68F63D16" w14:textId="77777777" w:rsidR="006E48EA" w:rsidRPr="000B6B22" w:rsidRDefault="006E48EA" w:rsidP="009D4EFF">
            <w:pPr>
              <w:pStyle w:val="TableParagraph"/>
              <w:spacing w:after="120"/>
              <w:ind w:right="103"/>
              <w:jc w:val="both"/>
              <w:rPr>
                <w:rFonts w:ascii="Times New Roman" w:eastAsia="Verdana" w:hAnsi="Times New Roman"/>
                <w:sz w:val="24"/>
                <w:szCs w:val="24"/>
              </w:rPr>
            </w:pPr>
            <w:r>
              <w:rPr>
                <w:rFonts w:ascii="Times New Roman" w:hAnsi="Times New Roman"/>
                <w:b/>
                <w:sz w:val="24"/>
              </w:rPr>
              <w:t>1.2.2.6. εξασφαλίσεις με τίτλους επιπέδου 2Β από τιτλοποίηση (εμπορικά δάνεια ή δάνεια σε ιδιώτες, κράτος μέλος, ΒΠΠ1)</w:t>
            </w:r>
          </w:p>
          <w:p w14:paraId="1264B3D0" w14:textId="5E161C9A"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Άρθρο 28 παράγραφος 3 στοιχείο στ) του κατ’ εξουσιοδότηση κανονισμού (ΕΕ) 2015/61</w:t>
            </w:r>
          </w:p>
          <w:p w14:paraId="55F360E9" w14:textId="1B9AEDFC"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Τα πιστωτικά ιδρύματα αναφέρουν εδώ εκροές που προκύπτουν από εξασφαλισμένες πιστοδοτήσεις και από συναλλαγές με όρους κεφαλαιαγοράς, όπως ορίζονται στο άρθρο 192 σημεία 2) και 3) του κανονισμού (ΕΕ) αριθ. 575/2013, όταν ο αντισυμβαλλόμενος δεν είναι κεντρική τράπεζα και η παρεχόμενη εξασφάλιση είναι εξασφάλιση με τίτλους από τιτλοποίηση επιπέδου 2Β που συνίστανται σε εμπορικά δάνεια, χρηματοδοτικές μισθώσεις και πιστωτικές διευκολύνσεις χορηγούμενες σε επιχειρήσεις ή δάνεια και πιστωτικές διευκολύνσεις σε ιδιώτες κράτους μέλους και βαθμίδας πιστωτικής ποιότητας 1 και πληρούν τις προϋποθέσεις που ορίζονται στο άρθρο 13 παράγραφος 2 στοιχείο στ) σημεία iii) ή v) και, αν δεν χρησιμοποιούνταν ως εξασφάλιση των εν λόγω συναλλαγών, θα μπορούσε να θεωρηθεί, σύμφωνα με τα άρθρα 7 και 13 του κατ’ εξουσιοδότηση κανονισμού (ΕΕ) 2015/61, ως ρευστό στοιχείο ενεργητικού.</w:t>
            </w:r>
          </w:p>
        </w:tc>
      </w:tr>
      <w:tr w:rsidR="00B47B7D" w:rsidRPr="000B6B22" w14:paraId="63AA8A71" w14:textId="77777777" w:rsidTr="00454544">
        <w:tc>
          <w:tcPr>
            <w:tcW w:w="1457" w:type="dxa"/>
            <w:shd w:val="clear" w:color="auto" w:fill="auto"/>
            <w:vAlign w:val="center"/>
          </w:tcPr>
          <w:p w14:paraId="60CF2972" w14:textId="4D8F35AE"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t>1085</w:t>
            </w:r>
          </w:p>
        </w:tc>
        <w:tc>
          <w:tcPr>
            <w:tcW w:w="6946" w:type="dxa"/>
            <w:shd w:val="clear" w:color="auto" w:fill="auto"/>
          </w:tcPr>
          <w:p w14:paraId="71B88F25" w14:textId="168C884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1.2.2.6.1. των οποίων οι παρεχόμενες εξασφαλίσεις πληρούν τις λειτουργικές απαιτήσεις</w:t>
            </w:r>
          </w:p>
          <w:p w14:paraId="6B6A2F6E" w14:textId="55939256"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rPr>
              <w:t xml:space="preserve">Συναλλαγές του σημείου 1.2.2.6 όπου η εξασφάλιση, αν δεν χρησιμοποιούνταν ως εξασφάλιση των εν λόγω συναλλαγών, θα </w:t>
            </w:r>
            <w:r>
              <w:rPr>
                <w:rFonts w:ascii="Times New Roman" w:hAnsi="Times New Roman"/>
                <w:sz w:val="24"/>
              </w:rPr>
              <w:lastRenderedPageBreak/>
              <w:t>μπορούσε να θεωρηθεί, σύμφωνα με το άρθρο 8 του κατ’ εξουσιοδότηση κανονισμού (ΕΕ) 2015/61, ως ρευστό στοιχείο ενεργητικού.</w:t>
            </w:r>
          </w:p>
        </w:tc>
      </w:tr>
      <w:tr w:rsidR="00B47B7D" w:rsidRPr="000B6B22" w14:paraId="533CFCA5" w14:textId="77777777" w:rsidTr="00454544">
        <w:tc>
          <w:tcPr>
            <w:tcW w:w="1457" w:type="dxa"/>
            <w:shd w:val="clear" w:color="auto" w:fill="auto"/>
            <w:vAlign w:val="center"/>
          </w:tcPr>
          <w:p w14:paraId="208DF814" w14:textId="5294525F"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1090</w:t>
            </w:r>
          </w:p>
        </w:tc>
        <w:tc>
          <w:tcPr>
            <w:tcW w:w="6946" w:type="dxa"/>
            <w:shd w:val="clear" w:color="auto" w:fill="auto"/>
          </w:tcPr>
          <w:p w14:paraId="30311AA6" w14:textId="3599DB1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1.2.2.7. εξασφαλίσεις με άλλα στοιχεία ενεργητικού επιπέδου 2B</w:t>
            </w:r>
          </w:p>
          <w:p w14:paraId="0AC6EB49" w14:textId="5647AC00"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Άρθρο 28 παράγραφος 3 στοιχείο ζ) του κατ’ εξουσιοδότηση κανονισμού (ΕΕ) 2015/61</w:t>
            </w:r>
          </w:p>
          <w:p w14:paraId="1E7A41DA" w14:textId="72A0CE6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Τα πιστωτικά ιδρύματα αναφέρουν εδώ εκροές που προκύπτουν από εξασφαλισμένες πιστοδοτήσεις και από συναλλαγές με όρους κεφαλαιαγοράς, όπως ορίζονται στο άρθρο 192 σημεία 2) και 3) του κανονισμού (ΕΕ) αριθ. 575/2013, όταν ο αντισυμβαλλόμενος δεν είναι κεντρική τράπεζα και η παρεχόμενη εξασφάλιση είναι εξασφάλιση επιπέδου 2Β που δεν αποτυπώνεται ανωτέρω και, αν δεν χρησιμοποιούνταν ως εξασφάλιση των εν λόγω συναλλαγών, θα μπορούσε να θεωρηθεί, σύμφωνα με τα άρθρα 7 και 12 του κατ’ εξουσιοδότηση κανονισμού (ΕΕ) 2015/61, ως ρευστό στοιχείο ενεργητικού.</w:t>
            </w:r>
          </w:p>
        </w:tc>
      </w:tr>
      <w:tr w:rsidR="00B47B7D" w:rsidRPr="000B6B22" w14:paraId="57F387F1" w14:textId="77777777" w:rsidTr="00454544">
        <w:tc>
          <w:tcPr>
            <w:tcW w:w="1457" w:type="dxa"/>
            <w:shd w:val="clear" w:color="auto" w:fill="auto"/>
            <w:vAlign w:val="center"/>
          </w:tcPr>
          <w:p w14:paraId="65B52579" w14:textId="75523C49"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t>1095</w:t>
            </w:r>
          </w:p>
        </w:tc>
        <w:tc>
          <w:tcPr>
            <w:tcW w:w="6946" w:type="dxa"/>
            <w:shd w:val="clear" w:color="auto" w:fill="auto"/>
          </w:tcPr>
          <w:p w14:paraId="44A09898" w14:textId="53060AC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1.2.2.7.1. των οποίων οι παρεχόμενες εξασφαλίσεις πληρούν τις λειτουργικές απαιτήσεις</w:t>
            </w:r>
          </w:p>
          <w:p w14:paraId="1DBF88E5" w14:textId="1A651577"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rPr>
              <w:t>Συναλλαγές του σημείου 1.2.2.7 όπου η εξασφάλιση,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w:t>
            </w:r>
          </w:p>
        </w:tc>
      </w:tr>
      <w:tr w:rsidR="00B47B7D" w:rsidRPr="000B6B22" w14:paraId="772B8D62" w14:textId="77777777" w:rsidTr="00454544">
        <w:tc>
          <w:tcPr>
            <w:tcW w:w="1457" w:type="dxa"/>
            <w:shd w:val="clear" w:color="auto" w:fill="auto"/>
            <w:vAlign w:val="center"/>
          </w:tcPr>
          <w:p w14:paraId="34B2FEB8" w14:textId="7C6373F3"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1100</w:t>
            </w:r>
          </w:p>
        </w:tc>
        <w:tc>
          <w:tcPr>
            <w:tcW w:w="6946" w:type="dxa"/>
            <w:shd w:val="clear" w:color="auto" w:fill="auto"/>
          </w:tcPr>
          <w:p w14:paraId="0046FCC0" w14:textId="13F3CC6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1.2.2.8. εξασφαλίσεις με μη ρευστά στοιχεία ενεργητικού</w:t>
            </w:r>
          </w:p>
          <w:p w14:paraId="46264542" w14:textId="054D53E6"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Άρθρο 28 παράγραφος 3 στοιχείο η) του κατ’ εξουσιοδότηση κανονισμού (ΕΕ) 2015/61</w:t>
            </w:r>
          </w:p>
          <w:p w14:paraId="2462A39D" w14:textId="0CAD3356"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rPr>
              <w:t>Τα πιστωτικά ιδρύματα αναφέρουν εδώ εκροές που προκύπτουν από εξασφαλισμένες πιστοδοτήσεις και από συναλλαγές με όρους κεφαλαιαγοράς, όπως ορίζονται στο άρθρο 192 σημεία 2) και 3) του κανονισμού (ΕΕ) αριθ. 575/2013, όταν ο αντισυμβαλλόμενος δεν είναι κεντρική τράπεζα και η παρεχόμενη εξασφάλιση είναι εξασφάλιση με μη ρευστά στοιχεία ενεργητικού.</w:t>
            </w:r>
          </w:p>
        </w:tc>
      </w:tr>
      <w:tr w:rsidR="00B47B7D" w:rsidRPr="000B6B22" w14:paraId="681FE393" w14:textId="77777777" w:rsidTr="00454544">
        <w:tc>
          <w:tcPr>
            <w:tcW w:w="1457" w:type="dxa"/>
            <w:shd w:val="clear" w:color="auto" w:fill="auto"/>
            <w:vAlign w:val="center"/>
          </w:tcPr>
          <w:p w14:paraId="4D2E8AE8"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1130</w:t>
            </w:r>
          </w:p>
        </w:tc>
        <w:tc>
          <w:tcPr>
            <w:tcW w:w="6946" w:type="dxa"/>
            <w:shd w:val="clear" w:color="auto" w:fill="auto"/>
          </w:tcPr>
          <w:p w14:paraId="7B9C9022"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1.3. Συνολικές εκροές από πράξεις ανταλλαγής εξασφαλίσεων</w:t>
            </w:r>
          </w:p>
          <w:p w14:paraId="3323311D" w14:textId="5D396A5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Το άθροισμα των εκροών από τη στήλη 0070 του υποδείγματος  C75.01 του παραρτήματος XXIV αναφέρεται στη στήλη 0060.</w:t>
            </w:r>
          </w:p>
        </w:tc>
      </w:tr>
      <w:tr w:rsidR="00B47B7D" w:rsidRPr="000B6B22" w14:paraId="03FDDAA0" w14:textId="77777777" w:rsidTr="007318AA">
        <w:tc>
          <w:tcPr>
            <w:tcW w:w="8403" w:type="dxa"/>
            <w:gridSpan w:val="2"/>
            <w:shd w:val="clear" w:color="auto" w:fill="auto"/>
            <w:vAlign w:val="center"/>
          </w:tcPr>
          <w:p w14:paraId="201FEE18" w14:textId="2A100A8F" w:rsidR="00B278C8" w:rsidRPr="000B6B22" w:rsidRDefault="00B278C8">
            <w:pPr>
              <w:pStyle w:val="TableParagraph"/>
              <w:spacing w:after="120"/>
              <w:jc w:val="both"/>
              <w:rPr>
                <w:rFonts w:ascii="Times New Roman" w:eastAsia="Times New Roman" w:hAnsi="Times New Roman"/>
                <w:sz w:val="24"/>
                <w:szCs w:val="24"/>
              </w:rPr>
            </w:pPr>
            <w:r>
              <w:rPr>
                <w:rFonts w:ascii="Times New Roman" w:hAnsi="Times New Roman"/>
                <w:b/>
                <w:sz w:val="24"/>
                <w:u w:color="000000"/>
              </w:rPr>
              <w:t>ΥΠΟΜΝΗΜΑΤΙΚΑ ΣΤΟΙΧΕΙΑ</w:t>
            </w:r>
          </w:p>
        </w:tc>
      </w:tr>
      <w:tr w:rsidR="00B47B7D" w:rsidRPr="000B6B22" w14:paraId="67BA67F8" w14:textId="77777777" w:rsidTr="00454544">
        <w:tc>
          <w:tcPr>
            <w:tcW w:w="1457" w:type="dxa"/>
            <w:shd w:val="clear" w:color="auto" w:fill="auto"/>
            <w:vAlign w:val="center"/>
          </w:tcPr>
          <w:p w14:paraId="16C6441A" w14:textId="5DCEA4EB" w:rsidR="00735E44" w:rsidRPr="000B6B22" w:rsidRDefault="00735E44">
            <w:pPr>
              <w:spacing w:before="0"/>
              <w:rPr>
                <w:rFonts w:ascii="Times New Roman" w:eastAsia="Calibri" w:hAnsi="Times New Roman"/>
                <w:sz w:val="24"/>
              </w:rPr>
            </w:pPr>
            <w:r>
              <w:rPr>
                <w:rFonts w:ascii="Times New Roman" w:hAnsi="Times New Roman"/>
                <w:sz w:val="24"/>
              </w:rPr>
              <w:t>1170</w:t>
            </w:r>
          </w:p>
        </w:tc>
        <w:tc>
          <w:tcPr>
            <w:tcW w:w="6946" w:type="dxa"/>
            <w:shd w:val="clear" w:color="auto" w:fill="auto"/>
          </w:tcPr>
          <w:p w14:paraId="55149221" w14:textId="714EBF1E" w:rsidR="00735E44" w:rsidRPr="000B6B22" w:rsidRDefault="00242C3F" w:rsidP="009D4EFF">
            <w:pPr>
              <w:pStyle w:val="TableParagraph"/>
              <w:spacing w:after="120"/>
              <w:jc w:val="both"/>
              <w:rPr>
                <w:rFonts w:ascii="Times New Roman" w:hAnsi="Times New Roman"/>
                <w:b/>
                <w:sz w:val="24"/>
                <w:szCs w:val="24"/>
                <w:u w:color="000000"/>
              </w:rPr>
            </w:pPr>
            <w:r>
              <w:rPr>
                <w:rFonts w:ascii="Times New Roman" w:hAnsi="Times New Roman"/>
                <w:b/>
                <w:sz w:val="24"/>
                <w:u w:color="000000"/>
              </w:rPr>
              <w:t>2. Εκροές ρευστότητας προς συμψηφισμό με αλληλεξαρτώμενες εισροές</w:t>
            </w:r>
          </w:p>
          <w:p w14:paraId="57036C1A" w14:textId="3FDF033F" w:rsidR="00735E44" w:rsidRPr="000B6B22" w:rsidRDefault="00735E44">
            <w:pPr>
              <w:pStyle w:val="TableParagraph"/>
              <w:spacing w:after="120"/>
              <w:jc w:val="both"/>
              <w:rPr>
                <w:rFonts w:ascii="Times New Roman" w:hAnsi="Times New Roman"/>
                <w:sz w:val="24"/>
                <w:szCs w:val="24"/>
                <w:u w:color="000000"/>
              </w:rPr>
            </w:pPr>
            <w:r>
              <w:rPr>
                <w:rFonts w:ascii="Times New Roman" w:hAnsi="Times New Roman"/>
                <w:sz w:val="24"/>
              </w:rPr>
              <w:t>Άρθρο 26 του κατ’ εξουσιοδότηση κανονισμού (ΕΕ) 2015/61</w:t>
            </w:r>
          </w:p>
          <w:p w14:paraId="1C26E7C2" w14:textId="7EB25EA7" w:rsidR="00735E44" w:rsidRPr="000B6B22" w:rsidRDefault="00735E44">
            <w:pPr>
              <w:pStyle w:val="TableParagraph"/>
              <w:spacing w:after="120"/>
              <w:jc w:val="both"/>
              <w:rPr>
                <w:rFonts w:ascii="Times New Roman" w:hAnsi="Times New Roman"/>
                <w:sz w:val="24"/>
                <w:szCs w:val="24"/>
              </w:rPr>
            </w:pPr>
            <w:r>
              <w:rPr>
                <w:rFonts w:ascii="Times New Roman" w:hAnsi="Times New Roman"/>
                <w:sz w:val="24"/>
              </w:rPr>
              <w:t>Τα πιστωτικά ιδρύματα αναφέρουν στη στήλη 0010 το ανεξόφλητο υπόλοιπο όλων των υποχρεώσεων και των εκτός ισολογισμού δεσμεύσεων, οι εκροές ρευστότητας των οποίων έχουν συμψηφιστεί με τις αλληλεξαρτώμενες εισροές, σύμφωνα με το άρθρο 26 του κατ’ εξουσιοδότηση κανονισμού (ΕΕ) 2015/61.</w:t>
            </w:r>
          </w:p>
          <w:p w14:paraId="4F2F6173" w14:textId="1BE629F3" w:rsidR="002B1E5D" w:rsidRPr="000B6B22" w:rsidRDefault="002B1E5D">
            <w:pPr>
              <w:pStyle w:val="TableParagraph"/>
              <w:spacing w:after="120"/>
              <w:jc w:val="both"/>
              <w:rPr>
                <w:rFonts w:ascii="Times New Roman" w:eastAsia="Times New Roman" w:hAnsi="Times New Roman"/>
                <w:sz w:val="24"/>
                <w:szCs w:val="24"/>
              </w:rPr>
            </w:pPr>
            <w:r>
              <w:rPr>
                <w:rFonts w:ascii="Times New Roman" w:hAnsi="Times New Roman"/>
                <w:sz w:val="24"/>
              </w:rPr>
              <w:lastRenderedPageBreak/>
              <w:t>Τα πιστωτικά ιδρύματα αναφέρουν στη στήλη 0060 τις εκροές που έχουν συμψηφιστεί με τις αλληλεξαρτώμενες εισροές, σύμφωνα με το άρθρο 26 του κατ’ εξουσιοδότηση κανονισμού (ΕΕ) 2015/61.</w:t>
            </w:r>
          </w:p>
        </w:tc>
      </w:tr>
      <w:tr w:rsidR="00B47B7D" w:rsidRPr="000B6B22" w14:paraId="3AC53CC8" w14:textId="77777777" w:rsidTr="00454544">
        <w:tc>
          <w:tcPr>
            <w:tcW w:w="1457" w:type="dxa"/>
            <w:shd w:val="clear" w:color="auto" w:fill="auto"/>
            <w:vAlign w:val="center"/>
          </w:tcPr>
          <w:p w14:paraId="3EDB677F" w14:textId="77777777" w:rsidR="006E48EA" w:rsidRPr="000B6B22" w:rsidRDefault="006E48EA">
            <w:pPr>
              <w:spacing w:before="0"/>
              <w:rPr>
                <w:rFonts w:ascii="Times New Roman" w:eastAsia="Calibri" w:hAnsi="Times New Roman"/>
                <w:sz w:val="24"/>
              </w:rPr>
            </w:pPr>
          </w:p>
        </w:tc>
        <w:tc>
          <w:tcPr>
            <w:tcW w:w="6946" w:type="dxa"/>
            <w:shd w:val="clear" w:color="auto" w:fill="auto"/>
          </w:tcPr>
          <w:p w14:paraId="5F81A43B" w14:textId="7506E505"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rPr>
              <w:t>3. Λειτουργικές καταθέσεις που διατηρούνται για υπηρεσίες εκκαθάρισης, φύλαξης, διαχείρισης μετρητών ή άλλες συγκρίσιμες υπηρεσίες στο πλαίσιο μιας καθιερωμένης λειτουργικής σχέσης</w:t>
            </w:r>
          </w:p>
          <w:p w14:paraId="3D8EC3E4"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Τα πιστωτικά ιδρύματα αναφέρουν εδώ τις λειτουργικές καταθέσεις που αναφέρονται στο σημείο</w:t>
            </w:r>
          </w:p>
          <w:p w14:paraId="2F1A52B3" w14:textId="698C5523" w:rsidR="006E48EA" w:rsidRPr="000B6B22" w:rsidRDefault="006E48EA" w:rsidP="009D4EFF">
            <w:pPr>
              <w:widowControl w:val="0"/>
              <w:tabs>
                <w:tab w:val="left" w:pos="820"/>
              </w:tabs>
              <w:spacing w:before="0"/>
              <w:rPr>
                <w:rFonts w:ascii="Times New Roman" w:hAnsi="Times New Roman"/>
                <w:sz w:val="24"/>
              </w:rPr>
            </w:pPr>
            <w:r>
              <w:rPr>
                <w:rFonts w:ascii="Times New Roman" w:hAnsi="Times New Roman"/>
                <w:sz w:val="24"/>
              </w:rPr>
              <w:t>1.1.2.1. κατανεμημένες στους ακόλουθους αντισυμβαλλομένους:</w:t>
            </w:r>
          </w:p>
          <w:p w14:paraId="1FE35B38" w14:textId="77777777" w:rsidR="006E48EA" w:rsidRPr="000B6B22" w:rsidRDefault="006E48EA">
            <w:pPr>
              <w:widowControl w:val="0"/>
              <w:tabs>
                <w:tab w:val="left" w:pos="823"/>
              </w:tabs>
              <w:spacing w:before="0"/>
              <w:ind w:left="822"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πιστωτικά ιδρύματα,</w:t>
            </w:r>
          </w:p>
          <w:p w14:paraId="702F440A" w14:textId="77777777" w:rsidR="006E48EA" w:rsidRPr="000B6B22" w:rsidRDefault="006E48EA">
            <w:pPr>
              <w:widowControl w:val="0"/>
              <w:tabs>
                <w:tab w:val="left" w:pos="823"/>
              </w:tabs>
              <w:spacing w:before="0"/>
              <w:ind w:left="822"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χρηματοπιστωτικούς πελάτες εκτός από πιστωτικά ιδρύματα,</w:t>
            </w:r>
          </w:p>
          <w:p w14:paraId="60522586" w14:textId="77777777" w:rsidR="006E48EA" w:rsidRPr="000B6B22" w:rsidRDefault="006E48EA" w:rsidP="009D4EFF">
            <w:pPr>
              <w:widowControl w:val="0"/>
              <w:tabs>
                <w:tab w:val="left" w:pos="823"/>
              </w:tabs>
              <w:spacing w:before="0"/>
              <w:ind w:left="822" w:right="99"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κράτη, κεντρικές τράπεζες, πολυμερείς τράπεζες ανάπτυξης και οντότητες του δημοσίου τομέα,</w:t>
            </w:r>
          </w:p>
          <w:p w14:paraId="4A76631D" w14:textId="77777777" w:rsidR="006E48EA" w:rsidRPr="000B6B22" w:rsidRDefault="006E48EA">
            <w:pPr>
              <w:widowControl w:val="0"/>
              <w:tabs>
                <w:tab w:val="left" w:pos="823"/>
              </w:tabs>
              <w:spacing w:before="0"/>
              <w:ind w:left="822"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άλλους πελάτες.</w:t>
            </w:r>
          </w:p>
        </w:tc>
      </w:tr>
      <w:tr w:rsidR="00B47B7D" w:rsidRPr="000B6B22" w14:paraId="1F963A72" w14:textId="77777777" w:rsidTr="00454544">
        <w:tc>
          <w:tcPr>
            <w:tcW w:w="1457" w:type="dxa"/>
            <w:shd w:val="clear" w:color="auto" w:fill="auto"/>
            <w:vAlign w:val="center"/>
          </w:tcPr>
          <w:p w14:paraId="3BB9980D"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1180</w:t>
            </w:r>
          </w:p>
        </w:tc>
        <w:tc>
          <w:tcPr>
            <w:tcW w:w="6946" w:type="dxa"/>
            <w:shd w:val="clear" w:color="auto" w:fill="auto"/>
          </w:tcPr>
          <w:p w14:paraId="74AF2EFD" w14:textId="248CEC3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3.1. που παρέχονται από πιστωτικά ιδρύματα</w:t>
            </w:r>
          </w:p>
          <w:p w14:paraId="4EFB73CC"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Τα πιστωτικά ιδρύματα αναφέρουν το ποσό του υπολοίπου των λειτουργικών καταθέσεων που αναφέρονται στο σημείο 1.1.2.1 και παρέχονται από πιστωτικά ιδρύματα.</w:t>
            </w:r>
          </w:p>
        </w:tc>
      </w:tr>
      <w:tr w:rsidR="00B47B7D" w:rsidRPr="000B6B22" w14:paraId="7B40614A" w14:textId="77777777" w:rsidTr="00454544">
        <w:tc>
          <w:tcPr>
            <w:tcW w:w="1457" w:type="dxa"/>
            <w:shd w:val="clear" w:color="auto" w:fill="auto"/>
            <w:vAlign w:val="center"/>
          </w:tcPr>
          <w:p w14:paraId="614CD904"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1190</w:t>
            </w:r>
          </w:p>
        </w:tc>
        <w:tc>
          <w:tcPr>
            <w:tcW w:w="6946" w:type="dxa"/>
            <w:shd w:val="clear" w:color="auto" w:fill="auto"/>
          </w:tcPr>
          <w:p w14:paraId="7802669F" w14:textId="4D4F26D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3.2. που παρέχονται από χρηματοπιστωτικούς πελάτες, εξαιρουμένων των πιστωτικών ιδρυμάτων</w:t>
            </w:r>
          </w:p>
          <w:p w14:paraId="04EFB6B1"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Τα πιστωτικά ιδρύματα αναφέρουν το ποσό του υπολοίπου των λειτουργικών καταθέσεων που αναφέρονται στο σημείο 1.1.2.1 και παρέχονται από χρηματοπιστωτικούς πελάτες, εξαιρουμένων των πιστωτικών ιδρυμάτων.</w:t>
            </w:r>
          </w:p>
        </w:tc>
      </w:tr>
      <w:tr w:rsidR="00B47B7D" w:rsidRPr="000B6B22" w14:paraId="1F9BAD3E" w14:textId="77777777" w:rsidTr="00454544">
        <w:tc>
          <w:tcPr>
            <w:tcW w:w="1457" w:type="dxa"/>
            <w:shd w:val="clear" w:color="auto" w:fill="auto"/>
            <w:vAlign w:val="center"/>
          </w:tcPr>
          <w:p w14:paraId="6FE14E8A"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1200</w:t>
            </w:r>
          </w:p>
        </w:tc>
        <w:tc>
          <w:tcPr>
            <w:tcW w:w="6946" w:type="dxa"/>
            <w:shd w:val="clear" w:color="auto" w:fill="auto"/>
          </w:tcPr>
          <w:p w14:paraId="52E6142F" w14:textId="7091E1A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3.3. που παρέχονται από κράτη, κεντρικές τράπεζες, πολυμερείς τράπεζες ανάπτυξης και οντότητες του δημοσίου τομέα</w:t>
            </w:r>
          </w:p>
          <w:p w14:paraId="4408C5DE"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Τα πιστωτικά ιδρύματα αναφέρουν το ποσό του υπολοίπου των λειτουργικών καταθέσεων που αναφέρονται στο σημείο 1.1.2.1 και παρέχονται από κράτη, κεντρικές τράπεζες, πολυμερείς τράπεζες ανάπτυξης και οντότητες του δημόσιου τομέα.</w:t>
            </w:r>
          </w:p>
        </w:tc>
      </w:tr>
      <w:tr w:rsidR="00B47B7D" w:rsidRPr="000B6B22" w14:paraId="1C1F36D2" w14:textId="77777777" w:rsidTr="00454544">
        <w:tc>
          <w:tcPr>
            <w:tcW w:w="1457" w:type="dxa"/>
            <w:shd w:val="clear" w:color="auto" w:fill="auto"/>
            <w:vAlign w:val="center"/>
          </w:tcPr>
          <w:p w14:paraId="3251E3F7"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1210</w:t>
            </w:r>
          </w:p>
        </w:tc>
        <w:tc>
          <w:tcPr>
            <w:tcW w:w="6946" w:type="dxa"/>
            <w:shd w:val="clear" w:color="auto" w:fill="auto"/>
          </w:tcPr>
          <w:p w14:paraId="3266EAF6" w14:textId="278B359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3.4. που παρέχονται από άλλους πελάτες</w:t>
            </w:r>
          </w:p>
          <w:p w14:paraId="7D576088"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Τα πιστωτικά ιδρύματα αναφέρουν το ποσό του υπολοίπου των λειτουργικών καταθέσεων που αναφέρονται στο σημείο 1.1.2.1 και παρέχονται από άλλους πελάτες (εκτός από αυτούς που αναφέρονται ανωτέρω και από πελάτες που λαμβάνονται υπόψη για τις καταθέσεις λιανικής).</w:t>
            </w:r>
          </w:p>
        </w:tc>
      </w:tr>
      <w:tr w:rsidR="00B47B7D" w:rsidRPr="000B6B22" w14:paraId="423C7F88" w14:textId="77777777" w:rsidTr="00454544">
        <w:tc>
          <w:tcPr>
            <w:tcW w:w="1457" w:type="dxa"/>
            <w:shd w:val="clear" w:color="auto" w:fill="auto"/>
            <w:vAlign w:val="center"/>
          </w:tcPr>
          <w:p w14:paraId="1211567B" w14:textId="77777777" w:rsidR="006E48EA" w:rsidRPr="000B6B22" w:rsidRDefault="006E48EA">
            <w:pPr>
              <w:spacing w:before="0"/>
              <w:rPr>
                <w:rFonts w:ascii="Times New Roman" w:eastAsia="Calibri" w:hAnsi="Times New Roman"/>
                <w:sz w:val="24"/>
              </w:rPr>
            </w:pPr>
          </w:p>
        </w:tc>
        <w:tc>
          <w:tcPr>
            <w:tcW w:w="6946" w:type="dxa"/>
            <w:shd w:val="clear" w:color="auto" w:fill="auto"/>
          </w:tcPr>
          <w:p w14:paraId="3963A3C2" w14:textId="22948F7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4. Εκροές εντός ομίλου ή ΘΣΠ</w:t>
            </w:r>
          </w:p>
          <w:p w14:paraId="6D9D2FB7"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 xml:space="preserve">Τα πιστωτικά ιδρύματα αναφέρουν εδώ όλες τις συναλλαγές που αναφέρονται στο σημείο 1, όταν ο αντισυμβαλλόμενος είναι η μητρική ή θυγατρική του πιστωτικού ιδρύματος ή άλλη θυγατρική της ίδιας μητρικής ή συνδέεται με το πιστωτικό ίδρυμα με σχέση κατά την έννοια του άρθρου 12 παράγραφος 1 της οδηγίας 83/349/ΕΟΚ ή </w:t>
            </w:r>
            <w:r>
              <w:rPr>
                <w:rFonts w:ascii="Times New Roman" w:hAnsi="Times New Roman"/>
                <w:sz w:val="24"/>
              </w:rPr>
              <w:lastRenderedPageBreak/>
              <w:t>είναι μέλος του ίδιου θεσμικού συστήματος προστασίας που προβλέπεται στο άρθρο 113 παράγραφος 7 του κανονισμού (ΕΕ) αριθ. 575/2013 ή το κεντρικό ίδρυμα ή μέλος ενός δικτύου ή συνεταιριστικού ομίλου που αναφέρεται στο άρθρο 10 του κανονισμού (ΕΕ) αριθ. 575/2013.</w:t>
            </w:r>
          </w:p>
        </w:tc>
      </w:tr>
      <w:tr w:rsidR="00B47B7D" w:rsidRPr="000B6B22" w14:paraId="67A172EE" w14:textId="77777777" w:rsidTr="00454544">
        <w:tc>
          <w:tcPr>
            <w:tcW w:w="1457" w:type="dxa"/>
            <w:shd w:val="clear" w:color="auto" w:fill="auto"/>
            <w:vAlign w:val="center"/>
          </w:tcPr>
          <w:p w14:paraId="25F56E9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1290</w:t>
            </w:r>
          </w:p>
        </w:tc>
        <w:tc>
          <w:tcPr>
            <w:tcW w:w="6946" w:type="dxa"/>
            <w:shd w:val="clear" w:color="auto" w:fill="auto"/>
          </w:tcPr>
          <w:p w14:paraId="3E073B81" w14:textId="384FBFD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4.1. εκ των οποίων: σε χρηματοπιστωτικούς πελάτες</w:t>
            </w:r>
          </w:p>
          <w:p w14:paraId="4AE8FF92" w14:textId="61D65318" w:rsidR="006E48EA" w:rsidRPr="000B6B22" w:rsidRDefault="006E48EA" w:rsidP="009D4EFF">
            <w:pPr>
              <w:pStyle w:val="TableParagraph"/>
              <w:tabs>
                <w:tab w:val="left" w:pos="3147"/>
              </w:tabs>
              <w:spacing w:after="120"/>
              <w:ind w:right="99"/>
              <w:jc w:val="both"/>
              <w:rPr>
                <w:rFonts w:ascii="Times New Roman" w:eastAsia="Verdana" w:hAnsi="Times New Roman"/>
                <w:sz w:val="24"/>
                <w:szCs w:val="24"/>
              </w:rPr>
            </w:pPr>
            <w:r>
              <w:rPr>
                <w:rFonts w:ascii="Times New Roman" w:hAnsi="Times New Roman"/>
                <w:sz w:val="24"/>
              </w:rPr>
              <w:t>Τα πιστωτικά ιδρύματα αναφέρουν το συνολικό ποσό που αναφέρεται στο σημείο 1.1. σε χρηματοπιστωτικούς πελάτες εντός του πεδίου εφαρμογής του σημείου 4.</w:t>
            </w:r>
          </w:p>
        </w:tc>
      </w:tr>
      <w:tr w:rsidR="00B47B7D" w:rsidRPr="000B6B22" w14:paraId="1287EEA0" w14:textId="77777777" w:rsidTr="00454544">
        <w:tc>
          <w:tcPr>
            <w:tcW w:w="1457" w:type="dxa"/>
            <w:shd w:val="clear" w:color="auto" w:fill="auto"/>
            <w:vAlign w:val="center"/>
          </w:tcPr>
          <w:p w14:paraId="37C30E12"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1300</w:t>
            </w:r>
          </w:p>
        </w:tc>
        <w:tc>
          <w:tcPr>
            <w:tcW w:w="6946" w:type="dxa"/>
            <w:shd w:val="clear" w:color="auto" w:fill="auto"/>
          </w:tcPr>
          <w:p w14:paraId="78E2E1F8" w14:textId="763EA1C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4.2. εκ των οποίων: σε μη χρηματοπιστωτικούς πελάτες</w:t>
            </w:r>
          </w:p>
          <w:p w14:paraId="36DE8B04" w14:textId="5BD20665"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Τα πιστωτικά ιδρύματα αναφέρουν το συνολικό ποσό που αναφέρεται στο σημείο 1.1. σε μη χρηματοπιστωτικούς πελάτες εντός του πεδίου εφαρμογής του σημείου 4.</w:t>
            </w:r>
          </w:p>
        </w:tc>
      </w:tr>
      <w:tr w:rsidR="00B47B7D" w:rsidRPr="000B6B22" w14:paraId="05FA99BF" w14:textId="77777777" w:rsidTr="00454544">
        <w:tc>
          <w:tcPr>
            <w:tcW w:w="1457" w:type="dxa"/>
            <w:shd w:val="clear" w:color="auto" w:fill="auto"/>
            <w:vAlign w:val="center"/>
          </w:tcPr>
          <w:p w14:paraId="03DA1F42"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1310</w:t>
            </w:r>
          </w:p>
        </w:tc>
        <w:tc>
          <w:tcPr>
            <w:tcW w:w="6946" w:type="dxa"/>
            <w:shd w:val="clear" w:color="auto" w:fill="auto"/>
          </w:tcPr>
          <w:p w14:paraId="7E553520" w14:textId="234C3120"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4.3. εκ των οποίων: εξασφαλισμένες</w:t>
            </w:r>
          </w:p>
          <w:p w14:paraId="398D8A2C" w14:textId="3D0569B3"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Τα πιστωτικά ιδρύματα αναφέρουν το συνολικό ποσό των εξασφαλισμένων συναλλαγών που αναφέρονται στο σημείο 1.2. εντός του πεδίου εφαρμογής του σημείου 4.</w:t>
            </w:r>
          </w:p>
        </w:tc>
      </w:tr>
      <w:tr w:rsidR="00B47B7D" w:rsidRPr="000B6B22" w14:paraId="33B67DD1" w14:textId="77777777" w:rsidTr="00454544">
        <w:tc>
          <w:tcPr>
            <w:tcW w:w="1457" w:type="dxa"/>
            <w:shd w:val="clear" w:color="auto" w:fill="auto"/>
            <w:vAlign w:val="center"/>
          </w:tcPr>
          <w:p w14:paraId="79E8ED1B"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1320</w:t>
            </w:r>
          </w:p>
        </w:tc>
        <w:tc>
          <w:tcPr>
            <w:tcW w:w="6946" w:type="dxa"/>
            <w:shd w:val="clear" w:color="auto" w:fill="auto"/>
          </w:tcPr>
          <w:p w14:paraId="7704B6BD" w14:textId="13B4C00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4.4. εκ των οποίων: πιστωτικές διευκολύνσεις χωρίς προτιμησιακή μεταχείριση</w:t>
            </w:r>
          </w:p>
          <w:p w14:paraId="4EE148E6" w14:textId="20C70C76"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Τα πιστωτικά ιδρύματα αναφέρουν το μέγιστο ποσό που μπορεί να αναληφθεί από μη αναληφθείσες δεσμευμένες πιστωτικές διευκολύνσεις που αναφέρονται στο σημείο 1.1.6.1. προς οντότητες εντός του πεδίου εφαρμογής του σημείου 4, για τις οποίες δεν έχουν λάβει άδεια εφαρμογής χαμηλότερου ποσοστού εκροής σύμφωνα με το άρθρο 29 του κατ’ εξουσιοδότηση κανονισμού (ΕΕ) 2015/61.</w:t>
            </w:r>
          </w:p>
        </w:tc>
      </w:tr>
      <w:tr w:rsidR="00B47B7D" w:rsidRPr="000B6B22" w14:paraId="668DFBF6" w14:textId="77777777" w:rsidTr="00454544">
        <w:tc>
          <w:tcPr>
            <w:tcW w:w="1457" w:type="dxa"/>
            <w:shd w:val="clear" w:color="auto" w:fill="auto"/>
            <w:vAlign w:val="center"/>
          </w:tcPr>
          <w:p w14:paraId="7B0581BB"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1330</w:t>
            </w:r>
          </w:p>
        </w:tc>
        <w:tc>
          <w:tcPr>
            <w:tcW w:w="6946" w:type="dxa"/>
            <w:shd w:val="clear" w:color="auto" w:fill="auto"/>
          </w:tcPr>
          <w:p w14:paraId="7469FE88" w14:textId="4DB234A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4.5. εκ των οποίων: ταμειακές διευκολύνσεις χωρίς προτιμησιακή μεταχείριση</w:t>
            </w:r>
          </w:p>
          <w:p w14:paraId="15A7EF24" w14:textId="593EB345"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Τα πιστωτικά ιδρύματα αναφέρουν το μέγιστο ποσό που μπορεί να αναληφθεί από μη αναληφθείσες δεσμευμένες ταμειακές διευκολύνσεις που αναφέρονται στο σημείο 1.1.6.2. προς οντότητες εντός του πεδίου εφαρμογής του σημείου 4, για τις οποίες δεν έχουν λάβει άδεια εφαρμογής χαμηλότερου ποσοστού εκροής σύμφωνα με το άρθρο 29 του κατ’ εξουσιοδότηση κανονισμού (ΕΕ) 2015/61.</w:t>
            </w:r>
          </w:p>
        </w:tc>
      </w:tr>
      <w:tr w:rsidR="00B47B7D" w:rsidRPr="000B6B22" w14:paraId="40DF34D4" w14:textId="77777777" w:rsidTr="00454544">
        <w:tc>
          <w:tcPr>
            <w:tcW w:w="1457" w:type="dxa"/>
            <w:shd w:val="clear" w:color="auto" w:fill="auto"/>
            <w:vAlign w:val="center"/>
          </w:tcPr>
          <w:p w14:paraId="7007FBEF"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1340</w:t>
            </w:r>
          </w:p>
        </w:tc>
        <w:tc>
          <w:tcPr>
            <w:tcW w:w="6946" w:type="dxa"/>
            <w:shd w:val="clear" w:color="auto" w:fill="auto"/>
          </w:tcPr>
          <w:p w14:paraId="574C61C7" w14:textId="060B422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4.6. εκ των οποίων: λειτουργικές καταθέσεις</w:t>
            </w:r>
          </w:p>
          <w:p w14:paraId="1FBD6BD9" w14:textId="78F622EA"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rPr>
              <w:t>Τα πιστωτικά ιδρύματα αναφέρουν το ποσό των καταθέσεων που αναφέρονται στο σημείο 1.1.2 σε οντότητες που εμπίπτουν στο πεδίο εφαρμογής του σημείου 4.</w:t>
            </w:r>
          </w:p>
        </w:tc>
      </w:tr>
      <w:tr w:rsidR="00B47B7D" w:rsidRPr="000B6B22" w14:paraId="42873BD1" w14:textId="77777777" w:rsidTr="00454544">
        <w:tc>
          <w:tcPr>
            <w:tcW w:w="1457" w:type="dxa"/>
            <w:shd w:val="clear" w:color="auto" w:fill="auto"/>
            <w:vAlign w:val="center"/>
          </w:tcPr>
          <w:p w14:paraId="4DFA906B"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t>1345</w:t>
            </w:r>
          </w:p>
        </w:tc>
        <w:tc>
          <w:tcPr>
            <w:tcW w:w="6946" w:type="dxa"/>
            <w:shd w:val="clear" w:color="auto" w:fill="auto"/>
          </w:tcPr>
          <w:p w14:paraId="15178648" w14:textId="06C41C4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4.7. εκ των οποίων: υπερβάλλουσες λειτουργικές καταθέσεις</w:t>
            </w:r>
            <w:r>
              <w:rPr>
                <w:rFonts w:ascii="Times New Roman" w:hAnsi="Times New Roman"/>
                <w:sz w:val="24"/>
              </w:rPr>
              <w:t xml:space="preserve"> Τα πιστωτικά ιδρύματα αναφέρουν το ποσό των κεφαλαίων από λειτουργικές καταθέσεις που τηρούνται καθ’ υπέρβαση και αναφέρονται στο σημείο 1.1.3. σε οντότητες που εμπίπτουν στο πεδίο εφαρμογής του σημείου 4.</w:t>
            </w:r>
          </w:p>
        </w:tc>
      </w:tr>
      <w:tr w:rsidR="00B47B7D" w:rsidRPr="000B6B22" w14:paraId="1B260C6E" w14:textId="77777777" w:rsidTr="00454544">
        <w:tc>
          <w:tcPr>
            <w:tcW w:w="1457" w:type="dxa"/>
            <w:shd w:val="clear" w:color="auto" w:fill="auto"/>
            <w:vAlign w:val="center"/>
          </w:tcPr>
          <w:p w14:paraId="590E9B9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1350</w:t>
            </w:r>
          </w:p>
        </w:tc>
        <w:tc>
          <w:tcPr>
            <w:tcW w:w="6946" w:type="dxa"/>
            <w:shd w:val="clear" w:color="auto" w:fill="auto"/>
          </w:tcPr>
          <w:p w14:paraId="6032D3A8" w14:textId="2C7DD22B"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b/>
                <w:sz w:val="24"/>
                <w:u w:color="000000"/>
              </w:rPr>
              <w:t>4.8. εκ των οποίων: μη λειτουργικές καταθέσεις</w:t>
            </w:r>
          </w:p>
          <w:p w14:paraId="18EEC5C6" w14:textId="72087133"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rPr>
              <w:t xml:space="preserve">Τα πιστωτικά ιδρύματα αναφέρουν το ποσό του τρέχοντος υπολοίπου </w:t>
            </w:r>
            <w:r>
              <w:rPr>
                <w:rFonts w:ascii="Times New Roman" w:hAnsi="Times New Roman"/>
                <w:sz w:val="24"/>
              </w:rPr>
              <w:lastRenderedPageBreak/>
              <w:t>των καταθέσεων που αναφέρονται στο σημείο 1.1.4 από οντότητες που εμπίπτουν στο πεδίο εφαρμογής του σημείου 4.</w:t>
            </w:r>
          </w:p>
        </w:tc>
      </w:tr>
      <w:tr w:rsidR="00B47B7D" w:rsidRPr="000B6B22" w14:paraId="3C34BC2B" w14:textId="77777777" w:rsidTr="00454544">
        <w:tc>
          <w:tcPr>
            <w:tcW w:w="1457" w:type="dxa"/>
            <w:shd w:val="clear" w:color="auto" w:fill="auto"/>
            <w:vAlign w:val="center"/>
          </w:tcPr>
          <w:p w14:paraId="1DB7A71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1360</w:t>
            </w:r>
          </w:p>
        </w:tc>
        <w:tc>
          <w:tcPr>
            <w:tcW w:w="6946" w:type="dxa"/>
            <w:shd w:val="clear" w:color="auto" w:fill="auto"/>
          </w:tcPr>
          <w:p w14:paraId="58F15977" w14:textId="48EBAD15"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u w:color="000000"/>
              </w:rPr>
              <w:t>4.9. εκ των οποίων: υποχρεώσεις με τη μορφή χρεογράφων, εφόσον δεν αντιμετωπίζονται ως καταθέσεις λιανικής</w:t>
            </w:r>
          </w:p>
          <w:p w14:paraId="701DA44B" w14:textId="25946259"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Τα πιστωτικά ιδρύματα αναφέρουν το ποσό του τρέχοντος υπολοίπου των χρεωστικών τίτλων που αναφέρονται στο σημείο 1.1.8.2 οι οποίοι κατέχονται από οντότητες εντός του πεδίου εφαρμογής του σημείου 4.</w:t>
            </w:r>
          </w:p>
        </w:tc>
      </w:tr>
      <w:tr w:rsidR="00B47B7D" w:rsidRPr="000B6B22" w14:paraId="5DF74416" w14:textId="77777777" w:rsidTr="00454544">
        <w:tc>
          <w:tcPr>
            <w:tcW w:w="1457" w:type="dxa"/>
            <w:shd w:val="clear" w:color="auto" w:fill="auto"/>
            <w:vAlign w:val="center"/>
          </w:tcPr>
          <w:p w14:paraId="4E239F41"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1370</w:t>
            </w:r>
          </w:p>
        </w:tc>
        <w:tc>
          <w:tcPr>
            <w:tcW w:w="6946" w:type="dxa"/>
            <w:shd w:val="clear" w:color="auto" w:fill="auto"/>
          </w:tcPr>
          <w:p w14:paraId="123D9B28" w14:textId="488DC99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5. Εκροές συναλλάγματος</w:t>
            </w:r>
          </w:p>
          <w:p w14:paraId="286AEE69"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Το στοιχείο αυτό αναφέρεται μόνο σε περίπτωση υποβολής αναφορών σε νομίσματα για τα οποία πρέπει να υποβάλλεται χωριστή αναφορά.</w:t>
            </w:r>
          </w:p>
          <w:p w14:paraId="7118C2D4" w14:textId="1EC60CD8"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Για τις περιπτώσεις υποβολής αναφορών σε χωριστό νόμισμα, σύμφωνα με το άρθρο 415 παράγραφος 2 του κανονισμού (ΕΕ) αριθ. 575/2013, μόνο, τα πιστωτικά ιδρύματα αναφέρουν το τμήμα των εκροών από παράγωγα (που αναφέρονται στο σημείο 1.1.5.5.) που αφορά ροές κεφαλαίων σε συνάλλαγμα στο αντίστοιχο σημαντικό νόμισμα από πράξεις ανταλλαγής νομισμάτων, τρέχουσες (spot) και προθεσμιακές πράξεις συναλλάγματος που λήγουν εντός της προθεσμίας των 30 ημερών. Ο συμψηφισμός ανά αντισυμβαλλόμενο μπορεί να εφαρμοστεί μόνο σε ροές στο εν λόγω νόμισμα, για παράδειγμα  η περίπτωση όπου αντισυμβαλλόμενος Α: EUR+10 και αντισυμβαλλόμενος Α: EUR–20 αναφέρεται ως εκροή 10 EUR. Δεν πραγματοποιείται συμψηφισμός μεταξύ αντισυμβαλλομένων, π.χ. η περίπτωση όπου αντισυμβαλλόμενος Α: EUR-10, αντισυμβαλλόμενος Β: EUR+40 αναφέρεται ως εκροή 10 EUR στο C73.00 (και εισροή 40 EUR στο C74.00).</w:t>
            </w:r>
          </w:p>
        </w:tc>
      </w:tr>
      <w:tr w:rsidR="00B47B7D" w:rsidRPr="000B6B22" w:rsidDel="00CA485C" w14:paraId="5EAA7725" w14:textId="77777777" w:rsidTr="00454544">
        <w:tc>
          <w:tcPr>
            <w:tcW w:w="1457" w:type="dxa"/>
            <w:shd w:val="clear" w:color="auto" w:fill="auto"/>
            <w:vAlign w:val="center"/>
          </w:tcPr>
          <w:p w14:paraId="606598C1" w14:textId="77777777" w:rsidR="006E48EA" w:rsidRPr="00301219" w:rsidDel="00CA485C" w:rsidRDefault="006E48EA" w:rsidP="009D4EFF">
            <w:pPr>
              <w:pStyle w:val="TableParagraph"/>
              <w:spacing w:after="120"/>
              <w:ind w:left="135"/>
              <w:jc w:val="both"/>
              <w:rPr>
                <w:rFonts w:ascii="Times New Roman" w:hAnsi="Times New Roman"/>
                <w:sz w:val="24"/>
                <w:szCs w:val="24"/>
              </w:rPr>
            </w:pPr>
          </w:p>
        </w:tc>
        <w:tc>
          <w:tcPr>
            <w:tcW w:w="6946" w:type="dxa"/>
            <w:shd w:val="clear" w:color="auto" w:fill="auto"/>
          </w:tcPr>
          <w:p w14:paraId="34A20D3D" w14:textId="557045FE"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u w:color="000000"/>
              </w:rPr>
              <w:t>6. Εξασφαλισμένες χρηματοδοτήσεις με απαλλαγή από το άρθρο 17 παράγραφοι 2 και 3</w:t>
            </w:r>
          </w:p>
          <w:p w14:paraId="47E2B0EE" w14:textId="251E5AF7" w:rsidR="006E48EA" w:rsidRPr="000B6B22" w:rsidDel="00CA485C" w:rsidRDefault="006E48EA" w:rsidP="009D4EFF">
            <w:pPr>
              <w:spacing w:before="0"/>
              <w:rPr>
                <w:rFonts w:ascii="Times New Roman" w:hAnsi="Times New Roman"/>
                <w:b/>
                <w:sz w:val="24"/>
                <w:u w:color="000000"/>
              </w:rPr>
            </w:pPr>
            <w:r>
              <w:rPr>
                <w:rFonts w:ascii="Times New Roman" w:hAnsi="Times New Roman"/>
                <w:sz w:val="24"/>
              </w:rPr>
              <w:t>Τα πιστωτικά ιδρύματα αναφέρουν εδώ πράξεις εξασφαλισμένης χρηματοδότησης με εναπομένουσα ληκτότητα έως 30 ημέρες, όταν ο αντισυμβαλλόμενος είναι κεντρική τράπεζα και εφόσον οι σχετικές πράξεις εξαιρούνται από την εφαρμογή του άρθρου 17 παράγραφοι 2 και 3 του κατ’ εξουσιοδότηση κανονισμού (ΕΕ) 2015/61 βάσει του άρθρου 17 παράγραφος 4 του εν λόγω κανονισμού.</w:t>
            </w:r>
          </w:p>
        </w:tc>
      </w:tr>
      <w:tr w:rsidR="00B47B7D" w:rsidRPr="000B6B22" w:rsidDel="00CA485C" w14:paraId="62483495" w14:textId="77777777" w:rsidTr="00454544">
        <w:tc>
          <w:tcPr>
            <w:tcW w:w="1457" w:type="dxa"/>
            <w:shd w:val="clear" w:color="auto" w:fill="auto"/>
            <w:vAlign w:val="center"/>
          </w:tcPr>
          <w:p w14:paraId="4CA9BABB" w14:textId="77777777"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t>1400</w:t>
            </w:r>
          </w:p>
        </w:tc>
        <w:tc>
          <w:tcPr>
            <w:tcW w:w="6946" w:type="dxa"/>
            <w:shd w:val="clear" w:color="auto" w:fill="auto"/>
          </w:tcPr>
          <w:p w14:paraId="266D6E2E" w14:textId="77777777"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u w:color="000000"/>
              </w:rPr>
              <w:t>6.1. εκ των οποίων: εξασφαλισμένες με στοιχεία ενεργητικού επιπέδου 1 εξαιρουμένων των ΕΥΠΚΟ</w:t>
            </w:r>
          </w:p>
          <w:p w14:paraId="4F2890CF" w14:textId="44AD4F45"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rPr>
              <w:t xml:space="preserve">Τα πιστωτικά ιδρύματα αναφέρουν εδώ πράξεις εξασφαλισμένης χρηματοδότησης με ληκτότητα εντός 30 ημερολογιακών ημερών, όταν ο αντισυμβαλλόμενος είναι κεντρική τράπεζα, η παρεχόμενη εξασφάλιση είναι εξασφάλιση επιπέδου 1, εξαιρουμένων των εξαιρετικά υψηλής ποιότητας καλυμμένων ομολόγων και, αν δεν χρησιμοποιούνταν ως εξασφάλιση, θα πληρούσε τις απαιτήσεις που ορίζονται στα άρθρα 7 και 8 του κατ’ εξουσιοδότηση κανονισμού (ΕΕ) 2015/61, και όταν οι σχετικές πράξεις εξαιρούνται από την εφαρμογή του άρθρου 17 παράγραφοι 2 και 3 του κατ’ εξουσιοδότηση κανονισμού (ΕΕ) 2015/61 βάσει του άρθρου 17 </w:t>
            </w:r>
            <w:r>
              <w:rPr>
                <w:rFonts w:ascii="Times New Roman" w:hAnsi="Times New Roman"/>
                <w:sz w:val="24"/>
              </w:rPr>
              <w:lastRenderedPageBreak/>
              <w:t>παράγραφος 4 του εν λόγω κανονισμού.</w:t>
            </w:r>
          </w:p>
        </w:tc>
      </w:tr>
      <w:tr w:rsidR="00B47B7D" w:rsidRPr="000B6B22" w:rsidDel="00CA485C" w14:paraId="28EDFD52" w14:textId="77777777" w:rsidTr="00454544">
        <w:tc>
          <w:tcPr>
            <w:tcW w:w="1457" w:type="dxa"/>
            <w:shd w:val="clear" w:color="auto" w:fill="auto"/>
            <w:vAlign w:val="center"/>
          </w:tcPr>
          <w:p w14:paraId="07161ABD" w14:textId="700A2932"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lastRenderedPageBreak/>
              <w:t>1410</w:t>
            </w:r>
          </w:p>
        </w:tc>
        <w:tc>
          <w:tcPr>
            <w:tcW w:w="6946" w:type="dxa"/>
            <w:shd w:val="clear" w:color="auto" w:fill="auto"/>
          </w:tcPr>
          <w:p w14:paraId="760C79A2" w14:textId="3B739238"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u w:color="000000"/>
              </w:rPr>
              <w:t>6.2. εκ των οποίων: εξασφαλισμένες με ΕΥΠΚΟ επιπέδου 1</w:t>
            </w:r>
          </w:p>
          <w:p w14:paraId="57A325CD" w14:textId="03422D88"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rPr>
              <w:t>Τα πιστωτικά ιδρύματα αναφέρουν εδώ πράξεις εξασφαλισμένης χρηματοδότησης με ληκτότητα εντός 30 ημερολογιακών ημερών, όταν ο αντισυμβαλλόμενος είναι κεντρική τράπεζα, η παρεχόμενη εξασφάλιση είναι εξασφάλιση επιπέδου 1 που συνίσταται σε εξαιρετικά υψηλής ποιότητας καλυμμένα ομόλογα και, αν δεν χρησιμοποιούνταν ως εξασφάλιση, θα πληρούσε τις απαιτήσεις που ορίζονται στα άρθρα 7 και 8 του κατ’ εξουσιοδότηση κανονισμού (ΕΕ) 2015/61, και όταν οι σχετικές πράξεις εξαιρούνται από την εφαρμογή του άρθρου 17 παράγραφοι 2 και 3 του κατ’ εξουσιοδότηση κανονισμού (ΕΕ) 2015/61 βάσει του άρθρου 17 παράγραφος 4 του εν λόγω κανονισμού.</w:t>
            </w:r>
          </w:p>
        </w:tc>
      </w:tr>
      <w:tr w:rsidR="00B47B7D" w:rsidRPr="000B6B22" w:rsidDel="00CA485C" w14:paraId="4DB6E57D" w14:textId="77777777" w:rsidTr="00454544">
        <w:tc>
          <w:tcPr>
            <w:tcW w:w="1457" w:type="dxa"/>
            <w:shd w:val="clear" w:color="auto" w:fill="auto"/>
            <w:vAlign w:val="center"/>
          </w:tcPr>
          <w:p w14:paraId="4D1BF014" w14:textId="5BBD3932"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t>1420</w:t>
            </w:r>
          </w:p>
        </w:tc>
        <w:tc>
          <w:tcPr>
            <w:tcW w:w="6946" w:type="dxa"/>
            <w:shd w:val="clear" w:color="auto" w:fill="auto"/>
          </w:tcPr>
          <w:p w14:paraId="43D61F6F" w14:textId="77777777"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u w:color="000000"/>
              </w:rPr>
              <w:t>6.3. εκ των οποίων: εξασφαλισμένες με στοιχεία ενεργητικού επιπέδου 2A</w:t>
            </w:r>
          </w:p>
          <w:p w14:paraId="0880BBF2" w14:textId="4D812718"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rPr>
              <w:t>Τα πιστωτικά ιδρύματα αναφέρουν εδώ πράξεις εξασφαλισμένης χρηματοδότησης με ληκτότητα εντός 30 ημερολογιακών ημερών, όταν ο αντισυμβαλλόμενος είναι κεντρική τράπεζα, η παρεχόμενη εξασφάλιση είναι εξασφάλιση επιπέδου 2Α και, αν δεν χρησιμοποιούνταν ως εξασφάλιση, θα πληρούσε τις απαιτήσεις που ορίζονται στα άρθρα 7 και 8 του κατ’ εξουσιοδότηση κανονισμού (ΕΕ) 2015/61, και όταν οι σχετικές πράξεις εξαιρούνται από την εφαρμογή του άρθρου 17 παράγραφοι 2 και 3 του κατ’ εξουσιοδότηση κανονισμού (ΕΕ) 2015/61 βάσει του άρθρου 17 παράγραφος 4 του εν λόγω κανονισμού.</w:t>
            </w:r>
          </w:p>
        </w:tc>
      </w:tr>
      <w:tr w:rsidR="00B47B7D" w:rsidRPr="000B6B22" w:rsidDel="00CA485C" w14:paraId="385169C8" w14:textId="77777777" w:rsidTr="00454544">
        <w:tc>
          <w:tcPr>
            <w:tcW w:w="1457" w:type="dxa"/>
            <w:shd w:val="clear" w:color="auto" w:fill="auto"/>
            <w:vAlign w:val="center"/>
          </w:tcPr>
          <w:p w14:paraId="7C8EDD8C" w14:textId="77777777"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t>1430</w:t>
            </w:r>
          </w:p>
        </w:tc>
        <w:tc>
          <w:tcPr>
            <w:tcW w:w="6946" w:type="dxa"/>
            <w:shd w:val="clear" w:color="auto" w:fill="auto"/>
          </w:tcPr>
          <w:p w14:paraId="0FD64EB4" w14:textId="77777777"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u w:color="000000"/>
              </w:rPr>
              <w:t>6.4. εκ των οποίων: εξασφαλισμένες με στοιχεία ενεργητικού επιπέδου 2Β</w:t>
            </w:r>
          </w:p>
          <w:p w14:paraId="2B961932" w14:textId="56F403FD"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rPr>
              <w:t>Τα πιστωτικά ιδρύματα αναφέρουν εδώ πράξεις εξασφαλισμένης χρηματοδότησης με ληκτότητα εντός 30 ημερολογιακών ημερών, όταν ο αντισυμβαλλόμενος είναι κεντρική τράπεζα, η παρεχόμενη εξασφάλιση είναι εξασφάλιση επιπέδου 2Β και, αν δεν χρησιμοποιούνταν ως εξασφάλιση, θα πληρούσε τις απαιτήσεις που ορίζονται στα άρθρα 7 και 8 του κατ’ εξουσιοδότηση κανονισμού (ΕΕ) 2015/61, και όταν οι σχετικές πράξεις εξαιρούνται από την εφαρμογή του άρθρου 17 παράγραφοι 2 και 3 του κατ’ εξουσιοδότηση κανονισμού (ΕΕ) 2015/61 βάσει του άρθρου 17 παράγραφος 4 του εν λόγω κανονισμού.</w:t>
            </w:r>
          </w:p>
        </w:tc>
      </w:tr>
      <w:tr w:rsidR="00657123" w:rsidRPr="000B6B22" w:rsidDel="00CA485C" w14:paraId="63929A57" w14:textId="77777777" w:rsidTr="00454544">
        <w:tc>
          <w:tcPr>
            <w:tcW w:w="1457" w:type="dxa"/>
            <w:shd w:val="clear" w:color="auto" w:fill="auto"/>
            <w:vAlign w:val="center"/>
          </w:tcPr>
          <w:p w14:paraId="331A5130" w14:textId="581A05CB" w:rsidR="00657123" w:rsidRPr="000B6B22" w:rsidRDefault="00657123" w:rsidP="009D4EFF">
            <w:pPr>
              <w:pStyle w:val="TableParagraph"/>
              <w:spacing w:after="120"/>
              <w:ind w:left="135"/>
              <w:jc w:val="both"/>
              <w:rPr>
                <w:rFonts w:ascii="Times New Roman" w:hAnsi="Times New Roman"/>
                <w:sz w:val="24"/>
                <w:szCs w:val="24"/>
              </w:rPr>
            </w:pPr>
            <w:r>
              <w:rPr>
                <w:rFonts w:ascii="Times New Roman" w:hAnsi="Times New Roman"/>
                <w:sz w:val="24"/>
              </w:rPr>
              <w:t>1440</w:t>
            </w:r>
          </w:p>
        </w:tc>
        <w:tc>
          <w:tcPr>
            <w:tcW w:w="6946" w:type="dxa"/>
            <w:shd w:val="clear" w:color="auto" w:fill="auto"/>
          </w:tcPr>
          <w:p w14:paraId="795D2950" w14:textId="77777777" w:rsidR="00657123" w:rsidRPr="000B6B22" w:rsidRDefault="00657123"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u w:color="000000"/>
              </w:rPr>
              <w:t>6.5. εκ των οποίων: εξασφαλισμένες με μη ρευστά στοιχεία ενεργητικού</w:t>
            </w:r>
          </w:p>
          <w:p w14:paraId="13A95E48" w14:textId="70C8CA3B" w:rsidR="00657123" w:rsidRPr="000B6B22" w:rsidRDefault="00657123" w:rsidP="009D4EFF">
            <w:pPr>
              <w:pStyle w:val="TableParagraph"/>
              <w:spacing w:after="120"/>
              <w:ind w:right="101"/>
              <w:jc w:val="both"/>
              <w:rPr>
                <w:rFonts w:ascii="Times New Roman" w:hAnsi="Times New Roman"/>
                <w:b/>
                <w:sz w:val="24"/>
                <w:szCs w:val="24"/>
                <w:u w:color="000000"/>
              </w:rPr>
            </w:pPr>
            <w:r>
              <w:rPr>
                <w:rFonts w:ascii="Times New Roman" w:hAnsi="Times New Roman"/>
                <w:sz w:val="24"/>
              </w:rPr>
              <w:t>Τα πιστωτικά ιδρύματα αναφέρουν εδώ πράξεις εξασφαλισμένης χρηματοδότησης με ληκτότητα εντός 30 ημερολογιακών ημερών, όταν ο αντισυμβαλλόμενος είναι κεντρική τράπεζα, η παρεχόμενη εξασφάλιση είναι μη ρευστή εξασφάλιση και όταν οι σχετικές πράξεις εξαιρούνται από την εφαρμογή του άρθρου 17 παράγραφοι 2 και 3 του κατ’ εξουσιοδότηση κανονισμού (ΕΕ) 2015/61 βάσει του άρθρου 17 παράγραφος 4 του εν λόγω κανονισμού.</w:t>
            </w:r>
          </w:p>
        </w:tc>
      </w:tr>
    </w:tbl>
    <w:p w14:paraId="44B054F8" w14:textId="77777777" w:rsidR="00106CCD" w:rsidRPr="000B6B22" w:rsidRDefault="00106CCD" w:rsidP="009D4EFF">
      <w:pPr>
        <w:spacing w:before="0"/>
        <w:rPr>
          <w:rFonts w:ascii="Times New Roman" w:hAnsi="Times New Roman"/>
          <w:b/>
          <w:sz w:val="24"/>
          <w:lang w:eastAsia="de-DE"/>
        </w:rPr>
      </w:pPr>
    </w:p>
    <w:p w14:paraId="791027C4" w14:textId="77777777" w:rsidR="009D4EFF" w:rsidRDefault="009D4EFF">
      <w:pPr>
        <w:spacing w:before="0" w:after="160" w:line="259" w:lineRule="auto"/>
        <w:jc w:val="left"/>
        <w:rPr>
          <w:rFonts w:ascii="Times New Roman" w:hAnsi="Times New Roman"/>
          <w:b/>
          <w:sz w:val="24"/>
        </w:rPr>
      </w:pPr>
      <w:r>
        <w:lastRenderedPageBreak/>
        <w:br w:type="page"/>
      </w:r>
    </w:p>
    <w:p w14:paraId="6BE32207" w14:textId="258EF9C1" w:rsidR="007453EC" w:rsidRPr="000B6B22" w:rsidRDefault="007453EC" w:rsidP="009D4EFF">
      <w:pPr>
        <w:spacing w:before="0"/>
        <w:rPr>
          <w:rFonts w:ascii="Times New Roman" w:hAnsi="Times New Roman"/>
          <w:b/>
          <w:sz w:val="24"/>
        </w:rPr>
      </w:pPr>
      <w:r>
        <w:rPr>
          <w:rFonts w:ascii="Times New Roman" w:hAnsi="Times New Roman"/>
          <w:b/>
          <w:sz w:val="24"/>
        </w:rPr>
        <w:lastRenderedPageBreak/>
        <w:t>ΜΕΡΟΣ 3: ΕΙΣΡΟΕΣ</w:t>
      </w:r>
    </w:p>
    <w:p w14:paraId="039D5D75" w14:textId="62033D61" w:rsidR="007453EC" w:rsidRPr="00301219" w:rsidRDefault="0062009E">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w:t>
      </w:r>
      <w:r w:rsidRPr="00301219">
        <w:rPr>
          <w:u w:val="none"/>
        </w:rPr>
        <w:tab/>
      </w:r>
      <w:r w:rsidRPr="00301219">
        <w:rPr>
          <w:rFonts w:ascii="Times New Roman" w:hAnsi="Times New Roman"/>
          <w:sz w:val="24"/>
          <w:u w:val="none"/>
        </w:rPr>
        <w:t>Εισροές</w:t>
      </w:r>
    </w:p>
    <w:p w14:paraId="47170F2B" w14:textId="3156AD7F"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sidRPr="00301219">
        <w:rPr>
          <w:rFonts w:ascii="Times New Roman" w:hAnsi="Times New Roman"/>
          <w:sz w:val="24"/>
          <w:u w:val="none"/>
        </w:rPr>
        <w:t>1.1.</w:t>
      </w:r>
      <w:r w:rsidRPr="00301219">
        <w:rPr>
          <w:u w:val="none"/>
        </w:rPr>
        <w:tab/>
      </w:r>
      <w:r>
        <w:rPr>
          <w:rFonts w:ascii="Times New Roman" w:hAnsi="Times New Roman"/>
          <w:sz w:val="24"/>
          <w:u w:val="none"/>
        </w:rPr>
        <w:t>Γενικές παρατηρήσεις</w:t>
      </w:r>
    </w:p>
    <w:p w14:paraId="5AADD144" w14:textId="0DBD526E" w:rsidR="007453EC" w:rsidRPr="000B6B22" w:rsidRDefault="007453EC">
      <w:pPr>
        <w:pStyle w:val="InstructionsText2"/>
        <w:numPr>
          <w:ilvl w:val="0"/>
          <w:numId w:val="113"/>
        </w:numPr>
        <w:spacing w:after="120"/>
        <w:rPr>
          <w:rFonts w:cs="Times New Roman"/>
          <w:sz w:val="24"/>
          <w:szCs w:val="24"/>
        </w:rPr>
      </w:pPr>
      <w:r>
        <w:rPr>
          <w:sz w:val="24"/>
        </w:rPr>
        <w:t>Το παρόν είναι ένα συνοπτικό υπόδειγμα που περιέχει πληροφορίες σχετικά με τις εισροές ρευστότητας οι οποίες υπολογίζονται εντός των επόμενων 30 ημερών, με σκοπό την υποβολή αναφορών σχετικά με την απαίτηση κάλυψης ρευστότητας, όπως ορίζεται στον κατ’ εξουσιοδότηση κανονισμό (ΕΕ) 2015/61. Τα στοιχεία που δεν χρειάζεται να συμπληρωθούν από τα πιστωτικά ιδρύματα χρωματίζονται με γκρι.</w:t>
      </w:r>
    </w:p>
    <w:p w14:paraId="59420614" w14:textId="71F4978E" w:rsidR="007453EC" w:rsidRPr="000B6B22" w:rsidRDefault="007453EC">
      <w:pPr>
        <w:pStyle w:val="InstructionsText2"/>
        <w:spacing w:after="120"/>
        <w:rPr>
          <w:rFonts w:cs="Times New Roman"/>
          <w:sz w:val="24"/>
          <w:szCs w:val="24"/>
        </w:rPr>
      </w:pPr>
      <w:r>
        <w:rPr>
          <w:sz w:val="24"/>
        </w:rPr>
        <w:t>Τα πιστωτικά ιδρύματα υποβάλλουν το υπόδειγμα στα αντίστοιχα νομίσματα, σύμφωνα με το άρθρο 415 παράγραφος 2 του κανονισμού (ΕΕ) αριθ. 575/2013.</w:t>
      </w:r>
    </w:p>
    <w:p w14:paraId="54F00814" w14:textId="73A1BB15" w:rsidR="007453EC" w:rsidRPr="000B6B22" w:rsidRDefault="007453EC">
      <w:pPr>
        <w:pStyle w:val="InstructionsText2"/>
        <w:spacing w:after="120"/>
        <w:rPr>
          <w:rFonts w:cs="Times New Roman"/>
          <w:sz w:val="24"/>
          <w:szCs w:val="24"/>
        </w:rPr>
      </w:pPr>
      <w:r>
        <w:rPr>
          <w:sz w:val="24"/>
        </w:rPr>
        <w:t>Σύμφωνα με το άρθρο 32 του κατ’ εξουσιοδότηση κανονισμού (ΕΕ) 2015/61, οι εισροές ρευστότητας:</w:t>
      </w:r>
    </w:p>
    <w:p w14:paraId="1772C6CD" w14:textId="4F671DEB" w:rsidR="007453EC" w:rsidRPr="000B6B22" w:rsidRDefault="007453EC">
      <w:pPr>
        <w:spacing w:before="0"/>
        <w:ind w:left="2160" w:hanging="180"/>
        <w:rPr>
          <w:rFonts w:ascii="Times New Roman" w:hAnsi="Times New Roman"/>
          <w:sz w:val="24"/>
        </w:rPr>
      </w:pPr>
      <w:r>
        <w:rPr>
          <w:rFonts w:ascii="Times New Roman" w:hAnsi="Times New Roman"/>
          <w:sz w:val="24"/>
        </w:rPr>
        <w:t>i.</w:t>
      </w:r>
      <w:r>
        <w:tab/>
      </w:r>
      <w:r>
        <w:rPr>
          <w:rFonts w:ascii="Times New Roman" w:hAnsi="Times New Roman"/>
          <w:sz w:val="24"/>
        </w:rPr>
        <w:t>περιλαμβάνουν μόνο συμβατικές εισροές από ανοίγματα που δεν είναι σε υπερημερία και για τα οποία το πιστωτικό ίδρυμα δεν έχει λόγους να αναμένει μη εκτέλεση εντός του χρονικού ορίζοντα των 30 ημερών·</w:t>
      </w:r>
    </w:p>
    <w:p w14:paraId="294170A7" w14:textId="0C7616D6" w:rsidR="007453EC" w:rsidRPr="000B6B22" w:rsidRDefault="007453EC">
      <w:pPr>
        <w:spacing w:before="0"/>
        <w:ind w:left="2160" w:hanging="180"/>
        <w:rPr>
          <w:rFonts w:ascii="Times New Roman" w:hAnsi="Times New Roman"/>
          <w:sz w:val="24"/>
        </w:rPr>
      </w:pPr>
      <w:r>
        <w:rPr>
          <w:rFonts w:ascii="Times New Roman" w:hAnsi="Times New Roman"/>
          <w:sz w:val="24"/>
        </w:rPr>
        <w:t>ii.</w:t>
      </w:r>
      <w:r>
        <w:tab/>
      </w:r>
      <w:r>
        <w:rPr>
          <w:rFonts w:ascii="Times New Roman" w:hAnsi="Times New Roman"/>
          <w:sz w:val="24"/>
        </w:rPr>
        <w:t>υπολογίζονται πολλαπλασιάζοντας τα εκκρεμή υπόλοιπα των διαφόρων κατηγοριών συμβατικών απαιτήσεων επί τα ποσοστά που καθορίζονται στον κατ’ εξουσιοδότηση κανονισμό (ΕΕ) 2015/61.</w:t>
      </w:r>
    </w:p>
    <w:p w14:paraId="4E8B89C3" w14:textId="5B5EEFDE" w:rsidR="007453EC" w:rsidRPr="000B6B22" w:rsidRDefault="007453EC">
      <w:pPr>
        <w:pStyle w:val="InstructionsText2"/>
        <w:spacing w:after="120"/>
        <w:rPr>
          <w:rFonts w:cs="Times New Roman"/>
          <w:sz w:val="24"/>
          <w:szCs w:val="24"/>
        </w:rPr>
      </w:pPr>
      <w:r>
        <w:rPr>
          <w:sz w:val="24"/>
        </w:rPr>
        <w:t>Οι εισροές εντός ομίλου ή θεσμικού συστήματος προστασίας (εκτός από τις εισροές από μη αναληφθείσες πιστωτικές ή ταμειακές διευκολύνσεις που παρέχονται από μέλη ομίλου ή θεσμικού συστήματος προστασίας, όταν η αρμόδια αρχή επιτρέπει την εφαρμογή προνομιακού ποσοστού εισροής) αναφέρονται στις σχετικές κατηγορίες. Τα μη σταθμισμένα ποσά θα πρέπει επιπλέον να αναφέρονται ως υπομνηματικά στοιχεία στο τμήμα 3 του υποδείγματος (γραμμές 0460-0510).</w:t>
      </w:r>
    </w:p>
    <w:p w14:paraId="5A30E889" w14:textId="44274FCE" w:rsidR="007453EC" w:rsidRPr="000B6B22" w:rsidRDefault="007453EC">
      <w:pPr>
        <w:pStyle w:val="InstructionsText2"/>
        <w:spacing w:after="120"/>
        <w:rPr>
          <w:rFonts w:cs="Times New Roman"/>
          <w:sz w:val="24"/>
          <w:szCs w:val="24"/>
        </w:rPr>
      </w:pPr>
      <w:r>
        <w:rPr>
          <w:sz w:val="24"/>
        </w:rPr>
        <w:t>Σύμφωνα με το άρθρο 32 παράγραφος 6 του κατ' εξουσιοδότηση κανονισμού (ΕΕ) 2015/61 της Επιτροπής, τα ιδρύματα δεν αναφέρουν εισροές από οποιοδήποτε από τα ρευστά στοιχεία ενεργητικού που αναφέρονται βάσει του τίτλου II του εν λόγω κανονισμού, με εξαίρεση τις πληρωμές των στοιχείων ενεργητικού που δεν αποτυπώνονται στην αγοραία αξία του στοιχείου.</w:t>
      </w:r>
    </w:p>
    <w:p w14:paraId="2155C2C9" w14:textId="332D6D40" w:rsidR="007453EC" w:rsidRPr="000B6B22" w:rsidRDefault="007453EC">
      <w:pPr>
        <w:pStyle w:val="InstructionsText2"/>
        <w:spacing w:after="120"/>
        <w:rPr>
          <w:rFonts w:cs="Times New Roman"/>
          <w:sz w:val="24"/>
          <w:szCs w:val="24"/>
        </w:rPr>
      </w:pPr>
      <w:r>
        <w:rPr>
          <w:sz w:val="24"/>
        </w:rPr>
        <w:t>Εισροές που πρόκειται να ληφθούν σε τρίτες χώρες όπου υπάρχουν περιορισμοί μεταφοράς ή είναι εκφρασμένες σε μη μετατρέψιμα νομίσματα αναφέρονται στις σχετικές γραμμές των σημείων 1.1., 1.2. ή 1.3. Οι εισροές αυτές αναφέρονται πλήρως, ανεξάρτητα από το ποσό των εκροών στην εν λόγω τρίτη χώρα ή το νόμισμα.</w:t>
      </w:r>
    </w:p>
    <w:p w14:paraId="721E6BE3" w14:textId="3E0D7CAF" w:rsidR="007453EC" w:rsidRPr="000B6B22" w:rsidRDefault="007453EC">
      <w:pPr>
        <w:pStyle w:val="InstructionsText2"/>
        <w:spacing w:after="120"/>
        <w:rPr>
          <w:rFonts w:cs="Times New Roman"/>
          <w:sz w:val="24"/>
          <w:szCs w:val="24"/>
        </w:rPr>
      </w:pPr>
      <w:r>
        <w:rPr>
          <w:sz w:val="24"/>
        </w:rPr>
        <w:t>Τα οφειλόμενα ποσά από τίτλους που έχουν εκδοθεί από το ίδιο το πιστωτικό ίδρυμα ή από ΟΕΣΤ με την οποία το πιστωτικό ίδρυμα διατηρεί στενούς δεσμούς λαμβάνονται υπόψη σε καθαρή βάση και εφαρμόζοντας το ποσοστό εισροών που εφαρμόζεται στα υποκείμενα στοιχεία ενεργητικού σύμφωνα με το άρθρο 32 παράγραφος 3 στοιχείο η) του κατ’ εξουσιοδότηση κανονισμού (ΕΕ) 2015/61.</w:t>
      </w:r>
    </w:p>
    <w:p w14:paraId="141DDFA0" w14:textId="7853DF61" w:rsidR="007453EC" w:rsidRPr="000B6B22" w:rsidRDefault="007453EC">
      <w:pPr>
        <w:pStyle w:val="InstructionsText2"/>
        <w:spacing w:after="120"/>
        <w:rPr>
          <w:rFonts w:cs="Times New Roman"/>
          <w:sz w:val="24"/>
          <w:szCs w:val="24"/>
        </w:rPr>
      </w:pPr>
      <w:r>
        <w:rPr>
          <w:sz w:val="24"/>
        </w:rPr>
        <w:t xml:space="preserve">Σύμφωνα με το άρθρο 32 παράγραφος 7 του κατ’ εξουσιοδότηση κανονισμού (ΕΕ) 2015/61, τα πιστωτικά ιδρύματα δεν αναφέρουν εισροές από τυχόν νέες </w:t>
      </w:r>
      <w:r>
        <w:rPr>
          <w:sz w:val="24"/>
        </w:rPr>
        <w:lastRenderedPageBreak/>
        <w:t>υποχρεώσεις τις οποίες αναλαμβάνουν. Πρόκειται για συμβατικές δεσμεύσεις που δεν έχουν καθοριστεί συμβατικά κατά την ημερομηνία υποβολής της αναφοράς, αλλά θα συναφθούν ή ενδέχεται να συναφθούν εντός του χρονικού ορίζοντα των 30 ημερών.</w:t>
      </w:r>
    </w:p>
    <w:p w14:paraId="5918AFDA" w14:textId="7B744600" w:rsidR="007453EC" w:rsidRPr="000B6B22" w:rsidRDefault="007453EC">
      <w:pPr>
        <w:pStyle w:val="InstructionsText2"/>
        <w:spacing w:after="120"/>
        <w:rPr>
          <w:rFonts w:cs="Times New Roman"/>
          <w:sz w:val="24"/>
          <w:szCs w:val="24"/>
        </w:rPr>
      </w:pPr>
      <w:r>
        <w:rPr>
          <w:sz w:val="24"/>
        </w:rPr>
        <w:t>Σε περίπτωση χωριστής αναφοράς σύμφωνα με το άρθρο 415 παράγραφος 2 του κανονισμού (ΕΕ) 575/2013, τα αναφερόμενα υπόλοιπα περιλαμβάνουν μόνον εκείνα που είναι εκφρασμένα στο σχετικό νόμισμα για να εξασφαλιστεί η ορθή αποτύπωση των συναλλαγματικών αποκλίσεων. Αυτό ενδεχομένως σημαίνει ότι μόνο ένα σκέλος της συναλλαγής αναφέρεται στο υπόδειγμα σε σχετικό νόμισμα. Για παράδειγμα, στην περίπτωση των παραγώγων συναλλάγματος, τα πιστωτικά ιδρύματα μπορούν να συμψηφίζουν τις εισροές και εκροές σύμφωνα με το άρθρο 21 του κατ’ εξουσιοδότηση κανονισμού (ΕΕ) 2015/61 μόνο όταν αυτές είναι εκφρασμένες στο ίδιο νόμισμα.</w:t>
      </w:r>
    </w:p>
    <w:p w14:paraId="231F16EA" w14:textId="5B11A64B" w:rsidR="007453EC" w:rsidRPr="000B6B22" w:rsidRDefault="007453EC">
      <w:pPr>
        <w:pStyle w:val="InstructionsText2"/>
        <w:spacing w:after="120"/>
        <w:rPr>
          <w:rFonts w:cs="Times New Roman"/>
          <w:sz w:val="24"/>
          <w:szCs w:val="24"/>
        </w:rPr>
      </w:pPr>
      <w:r>
        <w:rPr>
          <w:sz w:val="24"/>
        </w:rPr>
        <w:t>Η διάρθρωση των στηλών αυτού του υποδείγματος είναι σχεδιασμένη για την αναφορά των εφαρμοστέων διαφόρων ανώτατων ορίων των εισροών σύμφωνα με το άρθρο 33 του κατ’ εξουσιοδότηση κανονισμού (ΕΕ) 2015/61. Εν προκειμένω, το υπόδειγμα βασίζεται σε τρία σύνολα στηλών, ένα σύνολο για κάθε ανώτατο όριο (ανώτατο όριο 75 %, ανώτατο όριο 90 %, και εξαίρεση από το ανώτατο όριο). Τα πιστωτικά ιδρύματα που υποβάλλουν αναφορές σε ενοποιημένη βάση μπορούν να χρησιμοποιούν περισσότερα από ένα σύνολο στηλών, εάν διαφορετικές οντότητες βάσει της ίδιας ενοποίησης πληρούν τις προϋποθέσεις για διαφορετική μεταχείριση ως προς τα ανώτατα όρια.</w:t>
      </w:r>
    </w:p>
    <w:p w14:paraId="7ABEC4E1" w14:textId="475FA344" w:rsidR="007453EC" w:rsidRPr="000B6B22" w:rsidRDefault="007453EC">
      <w:pPr>
        <w:pStyle w:val="InstructionsText2"/>
        <w:spacing w:after="120"/>
        <w:rPr>
          <w:rFonts w:cs="Times New Roman"/>
          <w:sz w:val="24"/>
          <w:szCs w:val="24"/>
        </w:rPr>
      </w:pPr>
      <w:r>
        <w:rPr>
          <w:sz w:val="24"/>
        </w:rPr>
        <w:t>Σύμφωνα με το άρθρο 2 παράγραφος 3 στοιχείο γ) του κατ’ εξουσιοδότηση κανονισμού (ΕΕ) 2015/61 όσον αφορά την ενοποίηση, οι εισροές ρευστότητας σε θυγατρική επιχείρηση σε τρίτη χώρα, οι οποίες υπόκεινται, βάσει της εθνικής νομοθεσίας της εν λόγω τρίτης χώρας σε χαμηλότερα ποσοστά από αυτά που ορίζονται στον τίτλο ΙΙΙ του κανονισμού, υπόκεινται σε ενοποίηση σύμφωνα με τα χαμηλότερα ποσοστά που καθορίζονται από την εθνική νομοθεσία της τρίτης χώρας.</w:t>
      </w:r>
    </w:p>
    <w:p w14:paraId="0393DC96" w14:textId="02075785" w:rsidR="007453EC" w:rsidRPr="000B6B22" w:rsidRDefault="0070035D">
      <w:pPr>
        <w:pStyle w:val="InstructionsText2"/>
        <w:spacing w:after="120"/>
        <w:rPr>
          <w:rFonts w:cs="Times New Roman"/>
          <w:sz w:val="24"/>
          <w:szCs w:val="24"/>
        </w:rPr>
      </w:pPr>
      <w:r>
        <w:rPr>
          <w:sz w:val="24"/>
        </w:rPr>
        <w:t>Ο κατ’ εξουσιοδότηση κανονισμός (ΕΕ) 2015/61 αναφέρεται μόνο σε συντελεστές και σε ποσοστά περικοπής, και η λέξη «συντελεστής στάθμισης» στο υπόδειγμα αναφέρεται μόνο σε αυτούς στο κατάλληλο πλαίσιο. Στο παρόν παράρτημα, η λέξη «σταθμισμένο» χρησιμοποιείται ως γενικός όρος για να δηλώσει το ποσό που υπολογίζεται μετά την εφαρμογή των σχετικών ποσοστών περικοπής, συντελεστών και τυχόν άλλων πρόσθετων σχετικών οδηγιών (π.χ. στην περίπτωση εξασφαλισμένων πιστοδοτήσεων και χρηματοδοτήσεων).</w:t>
      </w:r>
    </w:p>
    <w:p w14:paraId="5A8208E2" w14:textId="6EB52EC7" w:rsidR="007453EC" w:rsidRPr="000B6B22" w:rsidRDefault="007453EC">
      <w:pPr>
        <w:pStyle w:val="InstructionsText2"/>
        <w:spacing w:after="120"/>
        <w:rPr>
          <w:rFonts w:cs="Times New Roman"/>
          <w:sz w:val="24"/>
          <w:szCs w:val="24"/>
        </w:rPr>
      </w:pPr>
      <w:r>
        <w:rPr>
          <w:sz w:val="24"/>
        </w:rPr>
        <w:t xml:space="preserve">Ορισμένα «υπομνηματικά στοιχεία» περιλαμβάνονται στα σχετικά υποδείγματα αυτών των οδηγιών. Μεταξύ άλλων, τα εν λόγω στοιχεία παρέχουν τις αναγκαίες πληροφορίες που επιτρέπουν στην αρμόδια αρχή να ολοκληρώσει την κατάλληλη αξιολόγηση της συμμόρφωσης των πιστωτικών ιδρυμάτων με τις απαιτήσεις ρευστότητας. </w:t>
      </w:r>
    </w:p>
    <w:p w14:paraId="499BAE40" w14:textId="37D0819B"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w:t>
      </w:r>
      <w:r w:rsidRPr="00301219">
        <w:rPr>
          <w:u w:val="none"/>
        </w:rPr>
        <w:tab/>
      </w:r>
      <w:r>
        <w:rPr>
          <w:rFonts w:ascii="Times New Roman" w:hAnsi="Times New Roman"/>
          <w:sz w:val="24"/>
          <w:u w:val="none"/>
        </w:rPr>
        <w:t>Ειδικές παρατηρήσεις σχετικά με τις εξασφαλισμένες πιστοδοτήσεις και συναλλαγές με όρους κεφαλαιαγοράς</w:t>
      </w:r>
    </w:p>
    <w:p w14:paraId="7478B985" w14:textId="3958DC53" w:rsidR="007453EC" w:rsidRPr="000B6B22" w:rsidRDefault="007453EC">
      <w:pPr>
        <w:pStyle w:val="InstructionsText2"/>
        <w:spacing w:after="120"/>
        <w:rPr>
          <w:rFonts w:cs="Times New Roman"/>
          <w:sz w:val="24"/>
          <w:szCs w:val="24"/>
        </w:rPr>
      </w:pPr>
      <w:r>
        <w:rPr>
          <w:sz w:val="24"/>
        </w:rPr>
        <w:t xml:space="preserve">Το υπόδειγμα κατηγοριοποιεί τις εξασφαλισμένες ροές με βάση την ποιότητα του υποκείμενου στοιχείου ενεργητικού ή την επιλεξιμότητα των υψηλής ποιότητας ρευστών στοιχείων ενεργητικού (HQLA). Παρέχεται χωριστό υπόδειγμα για πράξεις ανταλλαγής εξασφαλίσεων, το C 75.01 του παραρτήματος XXIV. Οι πράξεις ανταλλαγής εξασφαλίσεων, οι οποίες είναι </w:t>
      </w:r>
      <w:r>
        <w:rPr>
          <w:sz w:val="24"/>
        </w:rPr>
        <w:lastRenderedPageBreak/>
        <w:t>πράξεις εξασφαλίσεων έναντι εξασφαλίσεων, δεν δηλώνονται στο υπόδειγμα εισροών (C 74.00 του παραρτήματος XXIV), το οποίο καλύπτει μόνο πράξεις ρευστών διαθεσίμων έναντι εξασφαλίσεων.</w:t>
      </w:r>
    </w:p>
    <w:p w14:paraId="56720F36" w14:textId="513AE5F2" w:rsidR="007453EC" w:rsidRPr="000B6B22" w:rsidRDefault="007453EC">
      <w:pPr>
        <w:pStyle w:val="InstructionsText2"/>
        <w:spacing w:after="120"/>
        <w:rPr>
          <w:rFonts w:cs="Times New Roman"/>
          <w:sz w:val="24"/>
          <w:szCs w:val="24"/>
        </w:rPr>
      </w:pPr>
      <w:r>
        <w:rPr>
          <w:sz w:val="24"/>
        </w:rPr>
        <w:t>Όταν εξασφαλισμένες πιστοδοτήσεις και συναλλαγές με όρους κεφαλαιαγοράς εξασφαλίζονται με μετοχές ή μερίδια σε ΟΣΕ, οι συναλλαγές αυτές αναφέρονται σαν να ήταν εξασφαλισμένες με τα στοιχεία ενεργητικού της ΟΣΕ. Για παράδειγμα, σε περίπτωση που μια εξασφαλισμένη πιστοδότηση είναι εξασφαλισμένη με μετοχές ή μερίδια σε ΟΣΕ που επενδύει αποκλειστικά σε στοιχεία ενεργητικού επιπέδου 2Α, η εξασφαλισμένη πιστοδότηση υποβάλλεται σαν να ήταν απευθείας εξασφαλισμένη με εξασφάλιση επιπέδου 2Α. Το δυνητικά υψηλότερο ποσοστό εισροών για τις εξασφαλισμένες με μετοχές ή μερίδια σε ΟΣΕ πιστοδοτήσεις αντικατοπτρίζεται στο σχετικό ποσοστό εισροών που πρέπει να αναφέρεται.</w:t>
      </w:r>
    </w:p>
    <w:p w14:paraId="70BE7A08" w14:textId="5B9447DC" w:rsidR="007453EC" w:rsidRPr="000B6B22" w:rsidRDefault="007453EC">
      <w:pPr>
        <w:pStyle w:val="InstructionsText2"/>
        <w:spacing w:after="120"/>
        <w:rPr>
          <w:rFonts w:cs="Times New Roman"/>
          <w:sz w:val="24"/>
          <w:szCs w:val="24"/>
        </w:rPr>
      </w:pPr>
      <w:r>
        <w:rPr>
          <w:sz w:val="24"/>
        </w:rPr>
        <w:t>Σε περίπτωση χωριστής αναφοράς σύμφωνα με το άρθρο 415 παράγραφος 2 του κανονισμού (ΕΕ) 575/2013, τα αναφερόμενα υπόλοιπα περιλαμβάνουν μόνον εκείνα που είναι εκφρασμένα στο σχετικό νόμισμα για να εξασφαλιστεί η ορθή αποτύπωση των συναλλαγματικών αποκλίσεων. Αυτό ενδεχομένως σημαίνει ότι μόνο ένα σκέλος της συναλλαγής αναφέρεται στο υπόδειγμα σε σχετικό νόμισμα. Ως εκ τούτου μια πράξη αγοράς με συμφωνία επαναπώλησης μπορεί να οδηγήσει σε αρνητικές εισροές. Οι πράξεις αγοράς με συμφωνία επαναπώλησης που αναφέρονται στο ίδιο σημείο αθροίζονται (θετικό και αρνητικό αποτέλεσμα). Εάν το σύνολο είναι θετικό, αυτό αναφέρεται στο υπόδειγμα των εισροών. Εάν το σύνολο είναι αρνητικό, αναφέρεται στο υπόδειγμα εκροών. Η προσέγγιση αυτή ακολουθείται αντίστροφα για τις συμφωνίες επαναγοράς (repos).</w:t>
      </w:r>
    </w:p>
    <w:p w14:paraId="565C88EE" w14:textId="181B7AE3" w:rsidR="007453EC" w:rsidRPr="000B6B22" w:rsidRDefault="007453EC">
      <w:pPr>
        <w:pStyle w:val="InstructionsText2"/>
        <w:spacing w:after="120"/>
        <w:rPr>
          <w:rFonts w:cs="Times New Roman"/>
          <w:sz w:val="24"/>
          <w:szCs w:val="24"/>
        </w:rPr>
      </w:pPr>
      <w:r>
        <w:rPr>
          <w:sz w:val="24"/>
        </w:rPr>
        <w:t>Για τον υπολογισμό των εισροών, οι εξασφαλισμένες πιστοδοτήσεις και οι συναλλαγές με όρους κεφαλαιαγοράς αναφέρονται ανεξάρτητα από το κατά πόσον οι υποκείμενες ληφθείσες εξασφαλίσεις πληρούν τις λειτουργικές απαιτήσεις που προβλέπονται στο άρθρο 8 του κατ’ εξουσιοδότηση κανονισμού (ΕΕ) 2015/61. Επιπλέον, προκειμένου να καταστεί δυνατός ο υπολογισμός του προσαρμοσμένου αποθέματος ρευστών στοιχείων ενεργητικού σύμφωνα με το άρθρο 17 παράγραφος 2 του κατ’ εξουσιοδότηση κανονισμού (ΕΕ) 2015/61, τα πιστωτικά ιδρύματα αναφέρουν επίσης χωριστά τις εν λόγω συναλλαγές όταν οι υποκείμενες εξασφαλίσεις που λαμβάνονται πληρούν επιπλέον τις λειτουργικές απαιτήσεις που προβλέπονται στο άρθρο 8 του κατ’ εξουσιοδότηση κανονισμού (ΕΕ) 2015/61.</w:t>
      </w:r>
    </w:p>
    <w:p w14:paraId="36FDEE66" w14:textId="23E71C0D" w:rsidR="007453EC" w:rsidRPr="000B6B22" w:rsidRDefault="007453EC">
      <w:pPr>
        <w:pStyle w:val="InstructionsText2"/>
        <w:spacing w:after="120"/>
        <w:rPr>
          <w:rFonts w:cs="Times New Roman"/>
          <w:sz w:val="24"/>
          <w:szCs w:val="24"/>
        </w:rPr>
      </w:pPr>
      <w:r>
        <w:rPr>
          <w:sz w:val="24"/>
        </w:rPr>
        <w:t xml:space="preserve">Όταν το πιστωτικό ίδρυμα μπορεί να αναγνωρίσει μόνο μέρος των μετοχών του σε ξένο νόμισμα ή των στοιχείων ενεργητικού κεντρικής κυβέρνησης ή κεντρικής τράπεζας σε ξένο νόμισμα ή των στοιχείων ενεργητικού κεντρικής κυβέρνησης ή κεντρικής τράπεζας σε εθνικό νόμισμα ως υψηλής ποιότητας ρευστά στοιχεία ενεργητικού (HQLA), μόνο το αναγνωρίσιμο μέρος αναφέρεται στις γραμμές των στοιχείων ενεργητικού επιπέδων 1, 2Α και 2Β σύμφωνα με το άρθρο 12 παράγραφος 1 στοιχείο γ) σημείο ii) και το άρθρο 10 παράγραφος 1 στοιχείο δ) του κατ’ εξουσιοδότηση κανονισμού (ΕΕ) 2015/61. Όταν το συγκεκριμένο στοιχείο ενεργητικού χρησιμοποιείται ως εξασφάλιση αλλά για ποσό το οποίο υπερβαίνει το τμήμα που μπορεί να αναγνωριστεί ως ρευστά στοιχεία ενεργητικού, το πλεονάζον ποσό αναφέρεται στο τμήμα για τα μη ρευστά στοιχεία. Τα στοιχεία ενεργητικού επιπέδου 2Α αναφέρονται στην αντίστοιχη γραμμή στοιχείων ενεργητικού επιπέδου 2Α, ακόμη και αν </w:t>
      </w:r>
      <w:r>
        <w:rPr>
          <w:sz w:val="24"/>
        </w:rPr>
        <w:lastRenderedPageBreak/>
        <w:t>εφαρμόζεται η εναλλακτική προσέγγιση ρευστότητας σύμφωνα με το άρθρο 19 του κατ’ εξουσιοδότηση κανονισμού (ΕΕ) 2015/61.</w:t>
      </w:r>
    </w:p>
    <w:p w14:paraId="46AF9406" w14:textId="2AAC820D"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1.3.</w:t>
      </w:r>
      <w:r w:rsidRPr="00301219">
        <w:rPr>
          <w:u w:val="none"/>
        </w:rPr>
        <w:tab/>
      </w:r>
      <w:r w:rsidRPr="00301219">
        <w:rPr>
          <w:rFonts w:ascii="Times New Roman" w:hAnsi="Times New Roman"/>
          <w:sz w:val="24"/>
          <w:u w:val="none"/>
        </w:rPr>
        <w:t>Ε</w:t>
      </w:r>
      <w:r>
        <w:rPr>
          <w:rFonts w:ascii="Times New Roman" w:hAnsi="Times New Roman"/>
          <w:sz w:val="24"/>
          <w:u w:val="none"/>
        </w:rPr>
        <w:t>ιδικές παρατηρήσεις όσον αφορά τον διακανονισμό και τις προθεσμιακές πράξεις</w:t>
      </w:r>
    </w:p>
    <w:p w14:paraId="58CE8345" w14:textId="06ECF8C1" w:rsidR="007453EC" w:rsidRPr="000B6B22" w:rsidRDefault="007453EC">
      <w:pPr>
        <w:pStyle w:val="InstructionsText2"/>
        <w:spacing w:after="120"/>
        <w:rPr>
          <w:rFonts w:cs="Times New Roman"/>
          <w:sz w:val="24"/>
          <w:szCs w:val="24"/>
        </w:rPr>
      </w:pPr>
      <w:r>
        <w:rPr>
          <w:sz w:val="24"/>
        </w:rPr>
        <w:t>Τα πιστωτικά ιδρύματα αναφέρουν τις εισροές που προκύπτουν από προθεσμιακές συμφωνίες επαναγοράς που αρχίζουν εντός του χρονικού ορίζοντα των 30 ημερών και λήγουν πέραν του ορίζοντα των 30 ημερών. Η εισροή που πρόκειται να ληφθεί αναφέρεται στο {C 74.00· r260} («λοιπές εισροές»), μετά την αφαίρεση της αγοραίας αξίας του περιουσιακού στοιχείου που πρέπει να παραδοθεί στον αντισυμβαλλόμενο μετά την εφαρμογή του σχετικού ποσοστού περικοπής του ΔΚΡ. Εάν το στοιχείο ενεργητικού δεν είναι «ρευστό στοιχείο ενεργητικού», η εισροή που πρόκειται να ληφθεί αναφέρεται πλήρως. Το στοιχείο ενεργητικού που θα ενεχυριαστεί ως εξασφάλιση αναφέρεται στο C 72.00, εάν το ίδρυμα κατέχει το περιουσιακό στοιχείο στο χαρτοφυλάκιό του κατά την ημερομηνία αναφοράς και πληροί τις σχετικές προϋποθέσεις.</w:t>
      </w:r>
    </w:p>
    <w:p w14:paraId="058EC6C9" w14:textId="1A6729A2" w:rsidR="007453EC" w:rsidRPr="000B6B22" w:rsidRDefault="007453EC">
      <w:pPr>
        <w:pStyle w:val="InstructionsText2"/>
        <w:spacing w:after="120"/>
        <w:rPr>
          <w:rFonts w:cs="Times New Roman"/>
          <w:sz w:val="24"/>
          <w:szCs w:val="24"/>
        </w:rPr>
      </w:pPr>
      <w:r>
        <w:rPr>
          <w:sz w:val="24"/>
        </w:rPr>
        <w:t>Τα πιστωτικά ιδρύματα αναφέρουν τις εισροές που προέρχονται από προθεσμιακές συμφωνίες επαναγοράς, συναλλαγές αγοράς με συμφωνία επαναπώλησης και πράξεις ανταλλαγής εξασφαλίσεων που αρχίζουν εντός του χρονικού ορίζοντα των 30 ημερών και λήγουν πέραν του ορίζοντα των 30 ημερών, όταν το αρχικό σκέλος παράγει εισροή. Στην περίπτωση των συμφωνιών επαναγοράς, η εισροή που πρόκειται να ληφθεί αναφέρεται στο {C 74.00· r0260} («λοιπές εισροές»), μετά την αφαίρεση της αγοραίας αξίας του περιουσιακού στοιχείου που πρέπει να παραδοθεί στον αντισυμβαλλόμενο μετά την εφαρμογή του σχετικού ποσοστού περικοπής του ΔΚΡ. Εάν το ποσό που θα ληφθεί είναι χαμηλότερο από την αγοραία αξία του στοιχείου ενεργητικού (μετά την περικοπή του ΔΚΡ) που παρέχεται ως εξασφάλιση, η διαφορά αναφέρεται ως εκροή στο C.73.00. Εάν το στοιχείο ενεργητικού δεν είναι «ρευστό στοιχείο ενεργητικού», η εισροή που πρόκειται να ληφθεί αναφέρεται πλήρως. Το στοιχείο ενεργητικού που θα ενεχυριαστεί ως εξασφάλιση αναφέρεται στο C 72.00, όταν το ίδρυμα κατέχει το περιουσιακό στοιχείο στο χαρτοφυλάκιό του κατά την ημερομηνία αναφοράς και πληροί τις σχετικές προϋποθέσεις. Στην περίπτωση αγοράς με συμφωνία επαναπώλησης, όταν η αγοραία αξία του στοιχείου ενεργητικού που λαμβάνεται ως εξασφάλιση μετά την εφαρμογή της σχετικής περικοπής του ΔΚΡ (εάν το στοιχείο θεωρείται ρευστό στοιχείο ενεργητικού) είναι μεγαλύτερη από το προς χορήγηση ποσό μετρητών, η διαφορά πρέπει να αναφέρεται ως εισροή στο {C 74.00· r0260} («λοιπές εισροές»). Για πράξεις ανταλλαγής εξασφαλίσεων, όταν το καθαρό αποτέλεσμα της αρχικής ανταλλαγής στοιχείων ενεργητικού (λαμβανομένων υπόψη των ποσοστών περικοπής του ΔΚΡ) παράγει εισροή, η εν λόγω εισροή αναφέρεται στο {C 74.00· r0260} («λοιπές εισροές»).</w:t>
      </w:r>
    </w:p>
    <w:p w14:paraId="516CC2E4" w14:textId="77777777" w:rsidR="007453EC" w:rsidRPr="000B6B22" w:rsidRDefault="007453EC">
      <w:pPr>
        <w:pStyle w:val="InstructionsText2"/>
        <w:spacing w:after="120"/>
        <w:rPr>
          <w:rFonts w:cs="Times New Roman"/>
          <w:sz w:val="24"/>
          <w:szCs w:val="24"/>
        </w:rPr>
      </w:pPr>
      <w:r>
        <w:rPr>
          <w:sz w:val="24"/>
        </w:rPr>
        <w:t>Προθεσμιακές συμφωνίες επαναγοράς, προθεσμιακές συναλλαγές αγοράς με συμφωνία επαναπώλησης και προθεσμιακές πράξεις ανταλλαγής εξασφαλίσεων που αρχίζουν και λήγουν εντός του χρονικού ορίζοντα 30 ημερών του ΔΚΡ δεν έχουν καμία επίπτωση στον ΔΚΡ της τράπεζας και μπορεί να μη ληφθούν υπόψη.</w:t>
      </w:r>
    </w:p>
    <w:p w14:paraId="547D95AB" w14:textId="13C281BA" w:rsidR="007453EC" w:rsidRPr="000B6B22" w:rsidRDefault="0062009E">
      <w:pPr>
        <w:keepNext/>
        <w:spacing w:before="0"/>
        <w:ind w:left="357" w:hanging="357"/>
        <w:outlineLvl w:val="1"/>
        <w:rPr>
          <w:rFonts w:ascii="Times New Roman" w:hAnsi="Times New Roman"/>
          <w:sz w:val="24"/>
        </w:rPr>
      </w:pPr>
      <w:r>
        <w:rPr>
          <w:rFonts w:ascii="Times New Roman" w:hAnsi="Times New Roman"/>
          <w:sz w:val="24"/>
        </w:rPr>
        <w:lastRenderedPageBreak/>
        <w:t>1.4.</w:t>
      </w:r>
      <w:r>
        <w:tab/>
      </w:r>
      <w:r>
        <w:rPr>
          <w:rFonts w:ascii="Times New Roman" w:hAnsi="Times New Roman"/>
          <w:sz w:val="24"/>
        </w:rPr>
        <w:t>Διάγραμμα αποφάσεων για εισροές σχετικές με τον ΔΚΡ, σύμφωνα με τα άρθρα 32, 33 και 34 του κατ’ εξουσιοδότηση κανονισμού (ΕΕ) 2015/61</w:t>
      </w:r>
    </w:p>
    <w:p w14:paraId="70E3B016" w14:textId="27F76D6D" w:rsidR="007453EC" w:rsidRPr="000B6B22" w:rsidRDefault="007453EC">
      <w:pPr>
        <w:pStyle w:val="InstructionsText2"/>
        <w:spacing w:after="120"/>
        <w:rPr>
          <w:rFonts w:cs="Times New Roman"/>
          <w:sz w:val="24"/>
          <w:szCs w:val="24"/>
        </w:rPr>
      </w:pPr>
      <w:r>
        <w:rPr>
          <w:sz w:val="24"/>
        </w:rPr>
        <w:t>Το διάγραμμα αποφάσεων δεν θίγει την υποβολή αναφορών για τα υπομνηματικά στοιχεία. Το διάγραμμα αποφάσεων αποτελεί μέρος των οδηγιών που καθορίζουν τα κριτήρια ιεράρχησης των προτεραιοτήτων για την κατάταξη κάθε αναφερόμενου στοιχείου σε κατηγορίες με σκοπό να εξασφαλισθεί η υποβολή ομοιογενών και συγκρίσιμων στοιχείων. Δεν είναι αρκετή μόνο η τήρηση του διαγράμματος αποφάσεων· τα πιστωτικά ιδρύματα οφείλουν να τηρούν πάντοτε τις υπόλοιπες οδηγίες.</w:t>
      </w:r>
    </w:p>
    <w:p w14:paraId="69E73C91" w14:textId="5A2DB28E" w:rsidR="007453EC" w:rsidRPr="000B6B22" w:rsidRDefault="007453EC">
      <w:pPr>
        <w:pStyle w:val="InstructionsText2"/>
        <w:spacing w:after="120"/>
        <w:rPr>
          <w:rFonts w:cs="Times New Roman"/>
          <w:sz w:val="24"/>
          <w:szCs w:val="24"/>
        </w:rPr>
      </w:pPr>
      <w:r>
        <w:rPr>
          <w:sz w:val="24"/>
        </w:rPr>
        <w:t>Για λόγους απλούστευσης, το διάγραμμα αποφάσεων δεν λαμβάνει υπόψη τα σύνολα και τα υποσύνολα· αυτό, ωστόσο, δεν σημαίνει κατ’ ανάγκη ότι δεν πρέπει να αναφέρονται και αυτά.</w:t>
      </w:r>
    </w:p>
    <w:p w14:paraId="670B7B30" w14:textId="21093026" w:rsidR="007453EC" w:rsidRPr="000B6B22" w:rsidRDefault="0062009E">
      <w:pPr>
        <w:keepNext/>
        <w:spacing w:before="0"/>
        <w:ind w:left="357" w:hanging="357"/>
        <w:outlineLvl w:val="1"/>
        <w:rPr>
          <w:rFonts w:ascii="Times New Roman" w:hAnsi="Times New Roman"/>
          <w:sz w:val="24"/>
        </w:rPr>
      </w:pPr>
      <w:r>
        <w:rPr>
          <w:rFonts w:ascii="Times New Roman" w:hAnsi="Times New Roman"/>
          <w:sz w:val="24"/>
        </w:rPr>
        <w:t>1.4.1.</w:t>
      </w:r>
      <w:r>
        <w:tab/>
      </w:r>
      <w:r>
        <w:rPr>
          <w:rFonts w:ascii="Times New Roman" w:hAnsi="Times New Roman"/>
          <w:sz w:val="24"/>
        </w:rPr>
        <w:t>Διάγραμμα αποφάσεων σχετικά με τις γραμμές του υποδείγματος C 74.00 του παραρτήματος XXIV</w:t>
      </w: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
        <w:gridCol w:w="2706"/>
        <w:gridCol w:w="724"/>
        <w:gridCol w:w="2158"/>
        <w:gridCol w:w="989"/>
        <w:gridCol w:w="2150"/>
      </w:tblGrid>
      <w:tr w:rsidR="00B47B7D" w:rsidRPr="000B6B22" w14:paraId="30B2D3CF" w14:textId="77777777" w:rsidTr="008A4CE5">
        <w:trPr>
          <w:trHeight w:val="454"/>
          <w:jc w:val="center"/>
        </w:trPr>
        <w:tc>
          <w:tcPr>
            <w:tcW w:w="906" w:type="dxa"/>
            <w:shd w:val="clear" w:color="auto" w:fill="auto"/>
            <w:vAlign w:val="center"/>
          </w:tcPr>
          <w:p w14:paraId="043C7DE1" w14:textId="77777777" w:rsidR="00E145E1" w:rsidRPr="000B6B22" w:rsidRDefault="00E145E1" w:rsidP="009D4EFF">
            <w:pPr>
              <w:widowControl w:val="0"/>
              <w:spacing w:before="0"/>
              <w:ind w:left="7"/>
              <w:rPr>
                <w:rFonts w:ascii="Times New Roman" w:hAnsi="Times New Roman"/>
                <w:b/>
                <w:sz w:val="24"/>
              </w:rPr>
            </w:pPr>
            <w:r>
              <w:rPr>
                <w:rFonts w:ascii="Times New Roman" w:hAnsi="Times New Roman"/>
                <w:b/>
                <w:sz w:val="24"/>
              </w:rPr>
              <w:t>#</w:t>
            </w:r>
          </w:p>
        </w:tc>
        <w:tc>
          <w:tcPr>
            <w:tcW w:w="5588" w:type="dxa"/>
            <w:gridSpan w:val="3"/>
            <w:shd w:val="clear" w:color="auto" w:fill="auto"/>
            <w:vAlign w:val="center"/>
          </w:tcPr>
          <w:p w14:paraId="1FB5D26B" w14:textId="77777777" w:rsidR="00E145E1" w:rsidRPr="000B6B22" w:rsidRDefault="00E145E1" w:rsidP="009D4EFF">
            <w:pPr>
              <w:widowControl w:val="0"/>
              <w:spacing w:before="0"/>
              <w:ind w:left="141"/>
              <w:rPr>
                <w:rFonts w:ascii="Times New Roman" w:hAnsi="Times New Roman"/>
                <w:b/>
                <w:sz w:val="24"/>
              </w:rPr>
            </w:pPr>
            <w:r>
              <w:rPr>
                <w:rFonts w:ascii="Times New Roman" w:hAnsi="Times New Roman"/>
                <w:b/>
                <w:sz w:val="24"/>
              </w:rPr>
              <w:t>Στοιχείο</w:t>
            </w:r>
          </w:p>
        </w:tc>
        <w:tc>
          <w:tcPr>
            <w:tcW w:w="989" w:type="dxa"/>
            <w:shd w:val="clear" w:color="auto" w:fill="auto"/>
            <w:vAlign w:val="center"/>
          </w:tcPr>
          <w:p w14:paraId="1D5616C2" w14:textId="77777777" w:rsidR="00E145E1" w:rsidRPr="000B6B22" w:rsidRDefault="00E145E1">
            <w:pPr>
              <w:widowControl w:val="0"/>
              <w:spacing w:before="0"/>
              <w:rPr>
                <w:rFonts w:ascii="Times New Roman" w:hAnsi="Times New Roman"/>
                <w:b/>
                <w:sz w:val="24"/>
              </w:rPr>
            </w:pPr>
            <w:r>
              <w:rPr>
                <w:rFonts w:ascii="Times New Roman" w:hAnsi="Times New Roman"/>
                <w:b/>
                <w:sz w:val="24"/>
              </w:rPr>
              <w:t>Απόφαση</w:t>
            </w:r>
          </w:p>
        </w:tc>
        <w:tc>
          <w:tcPr>
            <w:tcW w:w="2150" w:type="dxa"/>
            <w:shd w:val="clear" w:color="auto" w:fill="auto"/>
            <w:vAlign w:val="center"/>
          </w:tcPr>
          <w:p w14:paraId="0AB3D9AF" w14:textId="77777777" w:rsidR="00E145E1" w:rsidRPr="000B6B22" w:rsidRDefault="00E145E1" w:rsidP="009D4EFF">
            <w:pPr>
              <w:widowControl w:val="0"/>
              <w:spacing w:before="0"/>
              <w:rPr>
                <w:rFonts w:ascii="Times New Roman" w:hAnsi="Times New Roman"/>
                <w:b/>
                <w:sz w:val="24"/>
              </w:rPr>
            </w:pPr>
            <w:r>
              <w:rPr>
                <w:rFonts w:ascii="Times New Roman" w:hAnsi="Times New Roman"/>
                <w:b/>
                <w:sz w:val="24"/>
              </w:rPr>
              <w:t>Υποβολή αναφοράς</w:t>
            </w:r>
          </w:p>
        </w:tc>
      </w:tr>
      <w:tr w:rsidR="00B47B7D" w:rsidRPr="000B6B22" w14:paraId="5B55C732" w14:textId="77777777" w:rsidTr="008A4CE5">
        <w:trPr>
          <w:trHeight w:val="1317"/>
          <w:jc w:val="center"/>
        </w:trPr>
        <w:tc>
          <w:tcPr>
            <w:tcW w:w="906" w:type="dxa"/>
            <w:vMerge w:val="restart"/>
            <w:shd w:val="clear" w:color="auto" w:fill="auto"/>
            <w:vAlign w:val="center"/>
          </w:tcPr>
          <w:p w14:paraId="57747FBE"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w:t>
            </w:r>
          </w:p>
        </w:tc>
        <w:tc>
          <w:tcPr>
            <w:tcW w:w="5588" w:type="dxa"/>
            <w:gridSpan w:val="3"/>
            <w:vMerge w:val="restart"/>
            <w:shd w:val="clear" w:color="auto" w:fill="auto"/>
            <w:vAlign w:val="center"/>
          </w:tcPr>
          <w:p w14:paraId="2B558A2B" w14:textId="77777777" w:rsidR="00E145E1" w:rsidRPr="000B6B22" w:rsidRDefault="00E145E1">
            <w:pPr>
              <w:spacing w:before="0"/>
              <w:rPr>
                <w:rFonts w:ascii="Times New Roman" w:hAnsi="Times New Roman"/>
                <w:sz w:val="24"/>
              </w:rPr>
            </w:pPr>
            <w:r>
              <w:rPr>
                <w:rFonts w:ascii="Times New Roman" w:hAnsi="Times New Roman"/>
                <w:sz w:val="24"/>
              </w:rPr>
              <w:t>Εισροή που πληροί τα λειτουργικά κριτήρια, όπως ορίζονται στο άρθρο 32, όπως:</w:t>
            </w:r>
          </w:p>
          <w:p w14:paraId="0BA26DEA"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το άνοιγμα δεν είναι σε υπερημερία (άρθρο 32 παράγραφος 1)</w:t>
            </w:r>
          </w:p>
          <w:p w14:paraId="715F58C3"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το πιστωτικό ίδρυμα δεν έχει λόγους να αναμένει αθέτηση εντός 30 ημερολογιακών ημερών (άρθρο 32 παράγραφος 1)</w:t>
            </w:r>
          </w:p>
          <w:p w14:paraId="71DD17DD"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τα πιστωτικά ιδρύματα δεν λαμβάνουν υπόψη εισροές από τυχόν νέες υποχρεώσεις τις οποίες αναλαμβάνουν (άρθρο 32 παράγραφος 7)</w:t>
            </w:r>
          </w:p>
          <w:p w14:paraId="49E97032"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δεν αναφέρονται εισροές σε περίπτωση που οι εισροές έχουν ήδη συμψηφιστεί με τις εκροές (άρθρο 26)</w:t>
            </w:r>
          </w:p>
          <w:p w14:paraId="1B821232"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τα πιστωτικά ιδρύματα δεν λαμβάνουν υπόψη εισροές από οποιοδήποτε από τα ρευστά στοιχεία ενεργητικού που αναφέρονται στον τίτλο II, εξαιρουμένων των οφειλόμενων πληρωμών για τα στοιχεία ενεργητικού που δεν αποτυπώνονται στην αγοραία αξία του στοιχείου (άρθρο 32 παράγραφος 6)</w:t>
            </w:r>
          </w:p>
        </w:tc>
        <w:tc>
          <w:tcPr>
            <w:tcW w:w="989" w:type="dxa"/>
            <w:shd w:val="clear" w:color="auto" w:fill="auto"/>
            <w:vAlign w:val="center"/>
          </w:tcPr>
          <w:p w14:paraId="6800CE72" w14:textId="77777777" w:rsidR="00E145E1" w:rsidRPr="000B6B22" w:rsidRDefault="00E145E1" w:rsidP="009D4EFF">
            <w:pPr>
              <w:spacing w:before="0"/>
              <w:rPr>
                <w:rFonts w:ascii="Times New Roman" w:hAnsi="Times New Roman"/>
                <w:sz w:val="24"/>
              </w:rPr>
            </w:pPr>
            <w:r>
              <w:rPr>
                <w:rFonts w:ascii="Times New Roman" w:hAnsi="Times New Roman"/>
                <w:sz w:val="24"/>
              </w:rPr>
              <w:t>Όχι</w:t>
            </w:r>
          </w:p>
        </w:tc>
        <w:tc>
          <w:tcPr>
            <w:tcW w:w="2150" w:type="dxa"/>
            <w:shd w:val="clear" w:color="auto" w:fill="auto"/>
            <w:vAlign w:val="center"/>
          </w:tcPr>
          <w:p w14:paraId="01FCD3CB" w14:textId="77777777" w:rsidR="00E145E1" w:rsidRPr="000B6B22" w:rsidRDefault="00E145E1" w:rsidP="009D4EFF">
            <w:pPr>
              <w:spacing w:before="0"/>
              <w:rPr>
                <w:rFonts w:ascii="Times New Roman" w:hAnsi="Times New Roman"/>
                <w:sz w:val="24"/>
              </w:rPr>
            </w:pPr>
            <w:r>
              <w:rPr>
                <w:rFonts w:ascii="Times New Roman" w:hAnsi="Times New Roman"/>
                <w:sz w:val="24"/>
              </w:rPr>
              <w:t>Δεν υποβάλλεται αναφορά</w:t>
            </w:r>
          </w:p>
        </w:tc>
      </w:tr>
      <w:tr w:rsidR="00B47B7D" w:rsidRPr="000B6B22" w14:paraId="3EC9E7CF" w14:textId="77777777" w:rsidTr="008A4CE5">
        <w:trPr>
          <w:jc w:val="center"/>
        </w:trPr>
        <w:tc>
          <w:tcPr>
            <w:tcW w:w="906" w:type="dxa"/>
            <w:vMerge/>
            <w:shd w:val="clear" w:color="auto" w:fill="auto"/>
            <w:vAlign w:val="center"/>
          </w:tcPr>
          <w:p w14:paraId="04C7A8B4"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A9FBC35"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D042DA5"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Ναι</w:t>
            </w:r>
          </w:p>
        </w:tc>
        <w:tc>
          <w:tcPr>
            <w:tcW w:w="2150" w:type="dxa"/>
            <w:shd w:val="clear" w:color="auto" w:fill="auto"/>
            <w:vAlign w:val="center"/>
          </w:tcPr>
          <w:p w14:paraId="0457FE7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w:t>
            </w:r>
          </w:p>
        </w:tc>
      </w:tr>
      <w:tr w:rsidR="00B47B7D" w:rsidRPr="000B6B22" w14:paraId="63D4CC3A" w14:textId="77777777" w:rsidTr="008A4CE5">
        <w:trPr>
          <w:jc w:val="center"/>
        </w:trPr>
        <w:tc>
          <w:tcPr>
            <w:tcW w:w="906" w:type="dxa"/>
            <w:vMerge w:val="restart"/>
            <w:shd w:val="clear" w:color="auto" w:fill="auto"/>
            <w:vAlign w:val="center"/>
          </w:tcPr>
          <w:p w14:paraId="62CEBC1A"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2</w:t>
            </w:r>
          </w:p>
        </w:tc>
        <w:tc>
          <w:tcPr>
            <w:tcW w:w="5588" w:type="dxa"/>
            <w:gridSpan w:val="3"/>
            <w:vMerge w:val="restart"/>
            <w:shd w:val="clear" w:color="auto" w:fill="auto"/>
            <w:vAlign w:val="center"/>
          </w:tcPr>
          <w:p w14:paraId="30130B5C" w14:textId="77777777" w:rsidR="00E145E1" w:rsidRPr="000B6B22" w:rsidRDefault="00E145E1">
            <w:pPr>
              <w:spacing w:before="0"/>
              <w:rPr>
                <w:rFonts w:ascii="Times New Roman" w:hAnsi="Times New Roman"/>
                <w:sz w:val="24"/>
              </w:rPr>
            </w:pPr>
            <w:r>
              <w:rPr>
                <w:rFonts w:ascii="Times New Roman" w:hAnsi="Times New Roman"/>
                <w:sz w:val="24"/>
              </w:rPr>
              <w:t>Αρχική προθεσμιακή πράξη</w:t>
            </w:r>
          </w:p>
        </w:tc>
        <w:tc>
          <w:tcPr>
            <w:tcW w:w="989" w:type="dxa"/>
            <w:shd w:val="clear" w:color="auto" w:fill="auto"/>
            <w:vAlign w:val="center"/>
          </w:tcPr>
          <w:p w14:paraId="65A7A10F" w14:textId="77777777" w:rsidR="00E145E1" w:rsidRPr="000B6B22" w:rsidRDefault="00E145E1" w:rsidP="009D4EFF">
            <w:pPr>
              <w:spacing w:before="0"/>
              <w:rPr>
                <w:rFonts w:ascii="Times New Roman" w:hAnsi="Times New Roman"/>
                <w:sz w:val="24"/>
              </w:rPr>
            </w:pPr>
            <w:r>
              <w:rPr>
                <w:rFonts w:ascii="Times New Roman" w:hAnsi="Times New Roman"/>
                <w:sz w:val="24"/>
              </w:rPr>
              <w:t>Ναι</w:t>
            </w:r>
          </w:p>
        </w:tc>
        <w:tc>
          <w:tcPr>
            <w:tcW w:w="2150" w:type="dxa"/>
            <w:shd w:val="clear" w:color="auto" w:fill="auto"/>
            <w:vAlign w:val="center"/>
          </w:tcPr>
          <w:p w14:paraId="6ADAB814" w14:textId="77777777" w:rsidR="00E145E1" w:rsidRPr="000B6B22" w:rsidRDefault="00E145E1" w:rsidP="009D4EFF">
            <w:pPr>
              <w:spacing w:before="0"/>
              <w:rPr>
                <w:rFonts w:ascii="Times New Roman" w:hAnsi="Times New Roman"/>
                <w:sz w:val="24"/>
              </w:rPr>
            </w:pPr>
            <w:r>
              <w:rPr>
                <w:rFonts w:ascii="Times New Roman" w:hAnsi="Times New Roman"/>
                <w:sz w:val="24"/>
              </w:rPr>
              <w:t># 3</w:t>
            </w:r>
          </w:p>
        </w:tc>
      </w:tr>
      <w:tr w:rsidR="00B47B7D" w:rsidRPr="000B6B22" w14:paraId="1DE93281" w14:textId="77777777" w:rsidTr="008A4CE5">
        <w:trPr>
          <w:jc w:val="center"/>
        </w:trPr>
        <w:tc>
          <w:tcPr>
            <w:tcW w:w="906" w:type="dxa"/>
            <w:vMerge/>
            <w:shd w:val="clear" w:color="auto" w:fill="auto"/>
            <w:vAlign w:val="center"/>
          </w:tcPr>
          <w:p w14:paraId="75ABBBB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84E265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9229C6B" w14:textId="77777777" w:rsidR="00E145E1" w:rsidRPr="000B6B22" w:rsidRDefault="00E145E1" w:rsidP="009D4EFF">
            <w:pPr>
              <w:widowControl w:val="0"/>
              <w:spacing w:before="0"/>
              <w:ind w:left="57"/>
              <w:rPr>
                <w:rFonts w:ascii="Times New Roman" w:eastAsia="Calibri" w:hAnsi="Times New Roman"/>
                <w:sz w:val="24"/>
              </w:rPr>
            </w:pPr>
            <w:r>
              <w:rPr>
                <w:rFonts w:ascii="Times New Roman" w:hAnsi="Times New Roman"/>
                <w:sz w:val="24"/>
              </w:rPr>
              <w:t>Όχι</w:t>
            </w:r>
          </w:p>
        </w:tc>
        <w:tc>
          <w:tcPr>
            <w:tcW w:w="2150" w:type="dxa"/>
            <w:shd w:val="clear" w:color="auto" w:fill="auto"/>
            <w:vAlign w:val="center"/>
          </w:tcPr>
          <w:p w14:paraId="4FD79E8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5</w:t>
            </w:r>
          </w:p>
        </w:tc>
      </w:tr>
      <w:tr w:rsidR="00B47B7D" w:rsidRPr="000B6B22" w14:paraId="3A7C389C" w14:textId="77777777" w:rsidTr="008A4CE5">
        <w:trPr>
          <w:jc w:val="center"/>
        </w:trPr>
        <w:tc>
          <w:tcPr>
            <w:tcW w:w="906" w:type="dxa"/>
            <w:vMerge w:val="restart"/>
            <w:shd w:val="clear" w:color="auto" w:fill="auto"/>
            <w:vAlign w:val="center"/>
          </w:tcPr>
          <w:p w14:paraId="16433EB4"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3</w:t>
            </w:r>
          </w:p>
        </w:tc>
        <w:tc>
          <w:tcPr>
            <w:tcW w:w="5588" w:type="dxa"/>
            <w:gridSpan w:val="3"/>
            <w:vMerge w:val="restart"/>
            <w:shd w:val="clear" w:color="auto" w:fill="auto"/>
            <w:vAlign w:val="center"/>
          </w:tcPr>
          <w:p w14:paraId="2CC94FF1" w14:textId="77777777" w:rsidR="00E145E1" w:rsidRPr="000B6B22" w:rsidRDefault="00E145E1">
            <w:pPr>
              <w:spacing w:before="0"/>
              <w:rPr>
                <w:rFonts w:ascii="Times New Roman" w:hAnsi="Times New Roman"/>
                <w:sz w:val="24"/>
              </w:rPr>
            </w:pPr>
            <w:r>
              <w:rPr>
                <w:rFonts w:ascii="Times New Roman" w:hAnsi="Times New Roman"/>
                <w:sz w:val="24"/>
              </w:rPr>
              <w:t>Προθεσμιακή πράξη που πραγματοποιήθηκε μετά την ημερομηνία αναφοράς·</w:t>
            </w:r>
          </w:p>
        </w:tc>
        <w:tc>
          <w:tcPr>
            <w:tcW w:w="989" w:type="dxa"/>
            <w:shd w:val="clear" w:color="auto" w:fill="auto"/>
            <w:vAlign w:val="center"/>
          </w:tcPr>
          <w:p w14:paraId="420C8E24" w14:textId="77777777" w:rsidR="00E145E1" w:rsidRPr="000B6B22" w:rsidRDefault="00E145E1" w:rsidP="009D4EFF">
            <w:pPr>
              <w:spacing w:before="0"/>
              <w:rPr>
                <w:rFonts w:ascii="Times New Roman" w:hAnsi="Times New Roman"/>
                <w:sz w:val="24"/>
              </w:rPr>
            </w:pPr>
            <w:r>
              <w:rPr>
                <w:rFonts w:ascii="Times New Roman" w:hAnsi="Times New Roman"/>
                <w:sz w:val="24"/>
              </w:rPr>
              <w:t>Ναι</w:t>
            </w:r>
          </w:p>
        </w:tc>
        <w:tc>
          <w:tcPr>
            <w:tcW w:w="2150" w:type="dxa"/>
            <w:shd w:val="clear" w:color="auto" w:fill="auto"/>
            <w:vAlign w:val="center"/>
          </w:tcPr>
          <w:p w14:paraId="76B5E0C1" w14:textId="77777777" w:rsidR="00E145E1" w:rsidRPr="000B6B22" w:rsidRDefault="00E145E1" w:rsidP="009D4EFF">
            <w:pPr>
              <w:spacing w:before="0"/>
              <w:rPr>
                <w:rFonts w:ascii="Times New Roman" w:hAnsi="Times New Roman"/>
                <w:sz w:val="24"/>
              </w:rPr>
            </w:pPr>
            <w:r>
              <w:rPr>
                <w:rFonts w:ascii="Times New Roman" w:hAnsi="Times New Roman"/>
                <w:sz w:val="24"/>
              </w:rPr>
              <w:t>Δεν υποβάλλεται αναφορά</w:t>
            </w:r>
          </w:p>
        </w:tc>
      </w:tr>
      <w:tr w:rsidR="00B47B7D" w:rsidRPr="000B6B22" w14:paraId="59795B99" w14:textId="77777777" w:rsidTr="008A4CE5">
        <w:trPr>
          <w:jc w:val="center"/>
        </w:trPr>
        <w:tc>
          <w:tcPr>
            <w:tcW w:w="906" w:type="dxa"/>
            <w:vMerge/>
            <w:shd w:val="clear" w:color="auto" w:fill="auto"/>
            <w:vAlign w:val="center"/>
          </w:tcPr>
          <w:p w14:paraId="4A94931C"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40DC7C3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5969BDA"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Όχι</w:t>
            </w:r>
          </w:p>
        </w:tc>
        <w:tc>
          <w:tcPr>
            <w:tcW w:w="2150" w:type="dxa"/>
            <w:shd w:val="clear" w:color="auto" w:fill="auto"/>
            <w:vAlign w:val="center"/>
          </w:tcPr>
          <w:p w14:paraId="5DE5F1C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4</w:t>
            </w:r>
          </w:p>
        </w:tc>
      </w:tr>
      <w:tr w:rsidR="00B47B7D" w:rsidRPr="000B6B22" w14:paraId="47670A72" w14:textId="77777777" w:rsidTr="008A4CE5">
        <w:trPr>
          <w:jc w:val="center"/>
        </w:trPr>
        <w:tc>
          <w:tcPr>
            <w:tcW w:w="906" w:type="dxa"/>
            <w:vMerge w:val="restart"/>
            <w:shd w:val="clear" w:color="auto" w:fill="auto"/>
            <w:vAlign w:val="center"/>
          </w:tcPr>
          <w:p w14:paraId="1FBBE389"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4</w:t>
            </w:r>
          </w:p>
        </w:tc>
        <w:tc>
          <w:tcPr>
            <w:tcW w:w="5588" w:type="dxa"/>
            <w:gridSpan w:val="3"/>
            <w:vMerge w:val="restart"/>
            <w:shd w:val="clear" w:color="auto" w:fill="auto"/>
            <w:vAlign w:val="center"/>
          </w:tcPr>
          <w:p w14:paraId="0614C847" w14:textId="65C5ADDE" w:rsidR="00E145E1" w:rsidRPr="000B6B22" w:rsidRDefault="00E145E1">
            <w:pPr>
              <w:spacing w:before="0"/>
              <w:rPr>
                <w:rFonts w:ascii="Times New Roman" w:hAnsi="Times New Roman"/>
                <w:sz w:val="24"/>
              </w:rPr>
            </w:pPr>
            <w:r>
              <w:rPr>
                <w:rFonts w:ascii="Times New Roman" w:hAnsi="Times New Roman"/>
                <w:sz w:val="24"/>
              </w:rPr>
              <w:t>Προθεσμιακή πράξη που αρχίζει εντός του χρονικού ορίζοντα των 30 ημερών και λήγει μετά τον ορίζοντα των 30 ημερών, όταν το αρχικό σκέλος παράγει καθαρή εισροή</w:t>
            </w:r>
          </w:p>
        </w:tc>
        <w:tc>
          <w:tcPr>
            <w:tcW w:w="989" w:type="dxa"/>
            <w:shd w:val="clear" w:color="auto" w:fill="auto"/>
            <w:vAlign w:val="center"/>
          </w:tcPr>
          <w:p w14:paraId="66540689" w14:textId="77777777" w:rsidR="00E145E1" w:rsidRPr="000B6B22" w:rsidRDefault="00E145E1" w:rsidP="009D4EFF">
            <w:pPr>
              <w:spacing w:before="0"/>
              <w:rPr>
                <w:rFonts w:ascii="Times New Roman" w:hAnsi="Times New Roman"/>
                <w:sz w:val="24"/>
              </w:rPr>
            </w:pPr>
            <w:r>
              <w:rPr>
                <w:rFonts w:ascii="Times New Roman" w:hAnsi="Times New Roman"/>
                <w:sz w:val="24"/>
              </w:rPr>
              <w:t>Ναι</w:t>
            </w:r>
          </w:p>
        </w:tc>
        <w:tc>
          <w:tcPr>
            <w:tcW w:w="2150" w:type="dxa"/>
            <w:shd w:val="clear" w:color="auto" w:fill="auto"/>
            <w:vAlign w:val="center"/>
          </w:tcPr>
          <w:p w14:paraId="408B9F32" w14:textId="6BAC0652" w:rsidR="00E145E1" w:rsidRPr="000B6B22" w:rsidRDefault="00E145E1" w:rsidP="009D4EFF">
            <w:pPr>
              <w:spacing w:before="0"/>
              <w:rPr>
                <w:rFonts w:ascii="Times New Roman" w:hAnsi="Times New Roman"/>
                <w:sz w:val="24"/>
              </w:rPr>
            </w:pPr>
            <w:r>
              <w:rPr>
                <w:rFonts w:ascii="Times New Roman" w:hAnsi="Times New Roman"/>
                <w:sz w:val="24"/>
              </w:rPr>
              <w:t>Γραμμή 260, ID 1.1.11.</w:t>
            </w:r>
          </w:p>
        </w:tc>
      </w:tr>
      <w:tr w:rsidR="00B47B7D" w:rsidRPr="000B6B22" w14:paraId="4B0DCE7A" w14:textId="77777777" w:rsidTr="008A4CE5">
        <w:trPr>
          <w:jc w:val="center"/>
        </w:trPr>
        <w:tc>
          <w:tcPr>
            <w:tcW w:w="906" w:type="dxa"/>
            <w:vMerge/>
            <w:shd w:val="clear" w:color="auto" w:fill="auto"/>
            <w:vAlign w:val="center"/>
          </w:tcPr>
          <w:p w14:paraId="5708839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CAE13D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D3B4DCF"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Όχι</w:t>
            </w:r>
          </w:p>
        </w:tc>
        <w:tc>
          <w:tcPr>
            <w:tcW w:w="2150" w:type="dxa"/>
            <w:shd w:val="clear" w:color="auto" w:fill="auto"/>
            <w:vAlign w:val="center"/>
          </w:tcPr>
          <w:p w14:paraId="2724D50B" w14:textId="417B6E7A" w:rsidR="00E145E1" w:rsidRPr="000B6B22" w:rsidRDefault="00E145E1" w:rsidP="009D4EFF">
            <w:pPr>
              <w:widowControl w:val="0"/>
              <w:spacing w:before="0"/>
              <w:ind w:left="136"/>
              <w:rPr>
                <w:rFonts w:ascii="Times New Roman" w:hAnsi="Times New Roman"/>
                <w:sz w:val="24"/>
              </w:rPr>
            </w:pPr>
            <w:r>
              <w:rPr>
                <w:rFonts w:ascii="Times New Roman" w:hAnsi="Times New Roman"/>
                <w:sz w:val="24"/>
              </w:rPr>
              <w:t>Δεν υποβάλλεται αναφορά</w:t>
            </w:r>
          </w:p>
        </w:tc>
      </w:tr>
      <w:tr w:rsidR="00B47B7D" w:rsidRPr="000B6B22" w14:paraId="67E83B0B" w14:textId="77777777" w:rsidTr="008A4CE5">
        <w:trPr>
          <w:jc w:val="center"/>
        </w:trPr>
        <w:tc>
          <w:tcPr>
            <w:tcW w:w="906" w:type="dxa"/>
            <w:vMerge w:val="restart"/>
            <w:shd w:val="clear" w:color="auto" w:fill="auto"/>
            <w:vAlign w:val="center"/>
          </w:tcPr>
          <w:p w14:paraId="6BB70319"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lastRenderedPageBreak/>
              <w:t>5</w:t>
            </w:r>
          </w:p>
        </w:tc>
        <w:tc>
          <w:tcPr>
            <w:tcW w:w="5588" w:type="dxa"/>
            <w:gridSpan w:val="3"/>
            <w:vMerge w:val="restart"/>
            <w:shd w:val="clear" w:color="auto" w:fill="auto"/>
            <w:vAlign w:val="center"/>
          </w:tcPr>
          <w:p w14:paraId="66FEBBAF" w14:textId="77777777" w:rsidR="00E145E1" w:rsidRPr="000B6B22" w:rsidRDefault="00E145E1">
            <w:pPr>
              <w:spacing w:before="0"/>
              <w:rPr>
                <w:rFonts w:ascii="Times New Roman" w:hAnsi="Times New Roman"/>
                <w:sz w:val="24"/>
              </w:rPr>
            </w:pPr>
            <w:r>
              <w:rPr>
                <w:rFonts w:ascii="Times New Roman" w:hAnsi="Times New Roman"/>
                <w:sz w:val="24"/>
              </w:rPr>
              <w:t>Εισροές εντός ομίλου ή θεσμικού συστήματος προστασίας</w:t>
            </w:r>
          </w:p>
        </w:tc>
        <w:tc>
          <w:tcPr>
            <w:tcW w:w="989" w:type="dxa"/>
            <w:shd w:val="clear" w:color="auto" w:fill="auto"/>
            <w:vAlign w:val="center"/>
          </w:tcPr>
          <w:p w14:paraId="55730E1A"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Ναι</w:t>
            </w:r>
          </w:p>
        </w:tc>
        <w:tc>
          <w:tcPr>
            <w:tcW w:w="2150" w:type="dxa"/>
            <w:shd w:val="clear" w:color="auto" w:fill="auto"/>
            <w:vAlign w:val="center"/>
          </w:tcPr>
          <w:p w14:paraId="39F0DA01" w14:textId="77777777" w:rsidR="00E145E1" w:rsidRPr="000B6B22" w:rsidRDefault="00E145E1" w:rsidP="009D4EFF">
            <w:pPr>
              <w:spacing w:before="0"/>
              <w:rPr>
                <w:rFonts w:ascii="Times New Roman" w:hAnsi="Times New Roman"/>
                <w:sz w:val="24"/>
              </w:rPr>
            </w:pPr>
            <w:r>
              <w:rPr>
                <w:rFonts w:ascii="Times New Roman" w:hAnsi="Times New Roman"/>
                <w:sz w:val="24"/>
              </w:rPr>
              <w:t># 6</w:t>
            </w:r>
          </w:p>
        </w:tc>
      </w:tr>
      <w:tr w:rsidR="00B47B7D" w:rsidRPr="000B6B22" w14:paraId="46AB761B" w14:textId="77777777" w:rsidTr="008A4CE5">
        <w:trPr>
          <w:jc w:val="center"/>
        </w:trPr>
        <w:tc>
          <w:tcPr>
            <w:tcW w:w="906" w:type="dxa"/>
            <w:vMerge/>
            <w:shd w:val="clear" w:color="auto" w:fill="auto"/>
            <w:vAlign w:val="center"/>
          </w:tcPr>
          <w:p w14:paraId="532DF74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25752AC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AF7CE8B"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Όχι</w:t>
            </w:r>
          </w:p>
        </w:tc>
        <w:tc>
          <w:tcPr>
            <w:tcW w:w="2150" w:type="dxa"/>
            <w:shd w:val="clear" w:color="auto" w:fill="auto"/>
            <w:vAlign w:val="center"/>
          </w:tcPr>
          <w:p w14:paraId="2FBB7CB2"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7</w:t>
            </w:r>
          </w:p>
        </w:tc>
      </w:tr>
      <w:tr w:rsidR="00B47B7D" w:rsidRPr="000B6B22" w14:paraId="6F1244E3" w14:textId="77777777" w:rsidTr="008A4CE5">
        <w:trPr>
          <w:trHeight w:val="369"/>
          <w:jc w:val="center"/>
        </w:trPr>
        <w:tc>
          <w:tcPr>
            <w:tcW w:w="906" w:type="dxa"/>
            <w:vMerge w:val="restart"/>
            <w:shd w:val="clear" w:color="auto" w:fill="auto"/>
            <w:vAlign w:val="center"/>
          </w:tcPr>
          <w:p w14:paraId="3ADEC18D"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6</w:t>
            </w:r>
          </w:p>
        </w:tc>
        <w:tc>
          <w:tcPr>
            <w:tcW w:w="5588" w:type="dxa"/>
            <w:gridSpan w:val="3"/>
            <w:vMerge w:val="restart"/>
            <w:shd w:val="clear" w:color="auto" w:fill="auto"/>
            <w:vAlign w:val="center"/>
          </w:tcPr>
          <w:p w14:paraId="0EB40C9A" w14:textId="77777777" w:rsidR="00E145E1" w:rsidRPr="000B6B22" w:rsidRDefault="00E145E1">
            <w:pPr>
              <w:spacing w:before="0"/>
              <w:rPr>
                <w:rFonts w:ascii="Times New Roman" w:hAnsi="Times New Roman"/>
                <w:sz w:val="24"/>
              </w:rPr>
            </w:pPr>
            <w:r>
              <w:rPr>
                <w:rFonts w:ascii="Times New Roman" w:hAnsi="Times New Roman"/>
                <w:sz w:val="24"/>
              </w:rPr>
              <w:t>Εισροές από μη αναληφθείσες πιστωτικές διευκολύνσεις και διευκολύνσεις ρευστότητας που παρέχονται από μέλη ομίλου ή θεσμικού συστήματος προστασίας, όταν η αρμόδια αρχή έχει επιτρέψει την εφαρμογή υψηλότερου ποσοστού εισροής (άρθρο 34)</w:t>
            </w:r>
          </w:p>
        </w:tc>
        <w:tc>
          <w:tcPr>
            <w:tcW w:w="989" w:type="dxa"/>
            <w:shd w:val="clear" w:color="auto" w:fill="auto"/>
            <w:vAlign w:val="center"/>
          </w:tcPr>
          <w:p w14:paraId="2C542346"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Ναι</w:t>
            </w:r>
          </w:p>
        </w:tc>
        <w:tc>
          <w:tcPr>
            <w:tcW w:w="2150" w:type="dxa"/>
            <w:shd w:val="clear" w:color="auto" w:fill="auto"/>
            <w:vAlign w:val="center"/>
          </w:tcPr>
          <w:p w14:paraId="32D9F82A" w14:textId="374A0D5F" w:rsidR="00E145E1" w:rsidRPr="000B6B22" w:rsidRDefault="00E145E1" w:rsidP="009D4EFF">
            <w:pPr>
              <w:spacing w:before="0"/>
              <w:rPr>
                <w:rFonts w:ascii="Times New Roman" w:hAnsi="Times New Roman"/>
                <w:sz w:val="24"/>
              </w:rPr>
            </w:pPr>
            <w:r>
              <w:rPr>
                <w:rFonts w:ascii="Times New Roman" w:hAnsi="Times New Roman"/>
                <w:sz w:val="24"/>
              </w:rPr>
              <w:t>Γραμμή 250, ID 1.1.10.</w:t>
            </w:r>
          </w:p>
        </w:tc>
      </w:tr>
      <w:tr w:rsidR="00B47B7D" w:rsidRPr="000B6B22" w14:paraId="663EAFD3" w14:textId="77777777" w:rsidTr="008A4CE5">
        <w:trPr>
          <w:trHeight w:val="369"/>
          <w:jc w:val="center"/>
        </w:trPr>
        <w:tc>
          <w:tcPr>
            <w:tcW w:w="906" w:type="dxa"/>
            <w:vMerge/>
            <w:shd w:val="clear" w:color="auto" w:fill="auto"/>
            <w:vAlign w:val="center"/>
          </w:tcPr>
          <w:p w14:paraId="2AE9AC4E"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183FF4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FE549EB"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Όχι</w:t>
            </w:r>
          </w:p>
        </w:tc>
        <w:tc>
          <w:tcPr>
            <w:tcW w:w="2150" w:type="dxa"/>
            <w:shd w:val="clear" w:color="auto" w:fill="auto"/>
            <w:vAlign w:val="center"/>
          </w:tcPr>
          <w:p w14:paraId="3A519144"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7</w:t>
            </w:r>
          </w:p>
        </w:tc>
      </w:tr>
      <w:tr w:rsidR="00B47B7D" w:rsidRPr="000B6B22" w14:paraId="7E8B0952" w14:textId="77777777" w:rsidTr="008A4CE5">
        <w:trPr>
          <w:jc w:val="center"/>
        </w:trPr>
        <w:tc>
          <w:tcPr>
            <w:tcW w:w="906" w:type="dxa"/>
            <w:vMerge w:val="restart"/>
            <w:shd w:val="clear" w:color="auto" w:fill="auto"/>
            <w:vAlign w:val="center"/>
          </w:tcPr>
          <w:p w14:paraId="0DEC0E7E"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7</w:t>
            </w:r>
          </w:p>
        </w:tc>
        <w:tc>
          <w:tcPr>
            <w:tcW w:w="5588" w:type="dxa"/>
            <w:gridSpan w:val="3"/>
            <w:vMerge w:val="restart"/>
            <w:shd w:val="clear" w:color="auto" w:fill="auto"/>
            <w:vAlign w:val="center"/>
          </w:tcPr>
          <w:p w14:paraId="33F4AD46" w14:textId="0B3E81EB" w:rsidR="00E145E1" w:rsidRPr="000B6B22" w:rsidRDefault="00E145E1">
            <w:pPr>
              <w:spacing w:before="0"/>
              <w:rPr>
                <w:rFonts w:ascii="Times New Roman" w:hAnsi="Times New Roman"/>
                <w:sz w:val="24"/>
              </w:rPr>
            </w:pPr>
            <w:r>
              <w:rPr>
                <w:rFonts w:ascii="Times New Roman" w:hAnsi="Times New Roman"/>
                <w:sz w:val="24"/>
              </w:rPr>
              <w:t>Εισροές από εξασφαλισμένες πιστοδοτήσεις και από συναλλαγές με όρους κεφαλαιαγοράς, εξαιρουμένων των παραγώγων [άρθρο 32 παράγραφος 3 στοιχεία β) - γ) και ε) - (στ)]</w:t>
            </w:r>
          </w:p>
        </w:tc>
        <w:tc>
          <w:tcPr>
            <w:tcW w:w="989" w:type="dxa"/>
            <w:shd w:val="clear" w:color="auto" w:fill="auto"/>
            <w:vAlign w:val="center"/>
          </w:tcPr>
          <w:p w14:paraId="4CA8246E" w14:textId="77777777" w:rsidR="00E145E1" w:rsidRPr="000B6B22" w:rsidRDefault="00E145E1" w:rsidP="009D4EFF">
            <w:pPr>
              <w:spacing w:before="0"/>
              <w:rPr>
                <w:rFonts w:ascii="Times New Roman" w:hAnsi="Times New Roman"/>
                <w:sz w:val="24"/>
              </w:rPr>
            </w:pPr>
            <w:r>
              <w:rPr>
                <w:rFonts w:ascii="Times New Roman" w:hAnsi="Times New Roman"/>
                <w:sz w:val="24"/>
              </w:rPr>
              <w:t>Ναι</w:t>
            </w:r>
          </w:p>
        </w:tc>
        <w:tc>
          <w:tcPr>
            <w:tcW w:w="2150" w:type="dxa"/>
            <w:shd w:val="clear" w:color="auto" w:fill="auto"/>
            <w:vAlign w:val="center"/>
          </w:tcPr>
          <w:p w14:paraId="698A6D2B" w14:textId="77777777" w:rsidR="00E145E1" w:rsidRPr="000B6B22" w:rsidRDefault="00E145E1" w:rsidP="009D4EFF">
            <w:pPr>
              <w:spacing w:before="0"/>
              <w:rPr>
                <w:rFonts w:ascii="Times New Roman" w:hAnsi="Times New Roman"/>
                <w:sz w:val="24"/>
              </w:rPr>
            </w:pPr>
            <w:r>
              <w:rPr>
                <w:rFonts w:ascii="Times New Roman" w:hAnsi="Times New Roman"/>
                <w:sz w:val="24"/>
              </w:rPr>
              <w:t># 23</w:t>
            </w:r>
          </w:p>
        </w:tc>
      </w:tr>
      <w:tr w:rsidR="00B47B7D" w:rsidRPr="000B6B22" w14:paraId="6D13146F" w14:textId="77777777" w:rsidTr="008A4CE5">
        <w:trPr>
          <w:jc w:val="center"/>
        </w:trPr>
        <w:tc>
          <w:tcPr>
            <w:tcW w:w="906" w:type="dxa"/>
            <w:vMerge/>
            <w:shd w:val="clear" w:color="auto" w:fill="auto"/>
            <w:vAlign w:val="center"/>
          </w:tcPr>
          <w:p w14:paraId="36F194E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CEA8DE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D51C567"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Όχι</w:t>
            </w:r>
          </w:p>
        </w:tc>
        <w:tc>
          <w:tcPr>
            <w:tcW w:w="2150" w:type="dxa"/>
            <w:shd w:val="clear" w:color="auto" w:fill="auto"/>
            <w:vAlign w:val="center"/>
          </w:tcPr>
          <w:p w14:paraId="450F0A8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8</w:t>
            </w:r>
          </w:p>
        </w:tc>
      </w:tr>
      <w:tr w:rsidR="00B47B7D" w:rsidRPr="000B6B22" w14:paraId="67184AEF" w14:textId="77777777" w:rsidTr="008A4CE5">
        <w:trPr>
          <w:jc w:val="center"/>
        </w:trPr>
        <w:tc>
          <w:tcPr>
            <w:tcW w:w="906" w:type="dxa"/>
            <w:vMerge w:val="restart"/>
            <w:shd w:val="clear" w:color="auto" w:fill="auto"/>
            <w:vAlign w:val="center"/>
          </w:tcPr>
          <w:p w14:paraId="1003E628"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8</w:t>
            </w:r>
          </w:p>
        </w:tc>
        <w:tc>
          <w:tcPr>
            <w:tcW w:w="5588" w:type="dxa"/>
            <w:gridSpan w:val="3"/>
            <w:vMerge w:val="restart"/>
            <w:shd w:val="clear" w:color="auto" w:fill="auto"/>
            <w:vAlign w:val="center"/>
          </w:tcPr>
          <w:p w14:paraId="00A13B84" w14:textId="2EEFC131" w:rsidR="00E145E1" w:rsidRPr="000B6B22" w:rsidRDefault="00E145E1">
            <w:pPr>
              <w:spacing w:before="0"/>
              <w:rPr>
                <w:rFonts w:ascii="Times New Roman" w:hAnsi="Times New Roman"/>
                <w:sz w:val="24"/>
              </w:rPr>
            </w:pPr>
            <w:r>
              <w:rPr>
                <w:rFonts w:ascii="Times New Roman" w:hAnsi="Times New Roman"/>
                <w:sz w:val="24"/>
              </w:rPr>
              <w:t>Οφειλόμενα ποσά από τίτλους που λήγουν εντός 30 ημερολογιακών ημερών [άρθρο 32 παράγραφος 2 στοιχείο γ)]</w:t>
            </w:r>
          </w:p>
        </w:tc>
        <w:tc>
          <w:tcPr>
            <w:tcW w:w="989" w:type="dxa"/>
            <w:shd w:val="clear" w:color="auto" w:fill="auto"/>
            <w:vAlign w:val="center"/>
          </w:tcPr>
          <w:p w14:paraId="4474E628"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Ναι</w:t>
            </w:r>
          </w:p>
        </w:tc>
        <w:tc>
          <w:tcPr>
            <w:tcW w:w="2150" w:type="dxa"/>
            <w:shd w:val="clear" w:color="auto" w:fill="auto"/>
            <w:vAlign w:val="center"/>
          </w:tcPr>
          <w:p w14:paraId="53AE7701" w14:textId="77777777" w:rsidR="00E145E1" w:rsidRPr="000B6B22" w:rsidRDefault="00E145E1" w:rsidP="009D4EFF">
            <w:pPr>
              <w:spacing w:before="0"/>
              <w:rPr>
                <w:rFonts w:ascii="Times New Roman" w:hAnsi="Times New Roman"/>
                <w:sz w:val="24"/>
              </w:rPr>
            </w:pPr>
            <w:r>
              <w:rPr>
                <w:rFonts w:ascii="Times New Roman" w:hAnsi="Times New Roman"/>
                <w:sz w:val="24"/>
              </w:rPr>
              <w:t>Γραμμή 190, ID 1.1.5</w:t>
            </w:r>
          </w:p>
        </w:tc>
      </w:tr>
      <w:tr w:rsidR="00B47B7D" w:rsidRPr="000B6B22" w14:paraId="6F7FD67F" w14:textId="77777777" w:rsidTr="008A4CE5">
        <w:trPr>
          <w:jc w:val="center"/>
        </w:trPr>
        <w:tc>
          <w:tcPr>
            <w:tcW w:w="906" w:type="dxa"/>
            <w:vMerge/>
            <w:shd w:val="clear" w:color="auto" w:fill="auto"/>
            <w:vAlign w:val="center"/>
          </w:tcPr>
          <w:p w14:paraId="29FFB068"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11F49B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85CCE33"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Όχι</w:t>
            </w:r>
          </w:p>
        </w:tc>
        <w:tc>
          <w:tcPr>
            <w:tcW w:w="2150" w:type="dxa"/>
            <w:shd w:val="clear" w:color="auto" w:fill="auto"/>
            <w:vAlign w:val="center"/>
          </w:tcPr>
          <w:p w14:paraId="5B5F3BA4"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9</w:t>
            </w:r>
          </w:p>
        </w:tc>
      </w:tr>
      <w:tr w:rsidR="00B47B7D" w:rsidRPr="000B6B22" w14:paraId="241142A9" w14:textId="77777777" w:rsidTr="008A4CE5">
        <w:trPr>
          <w:jc w:val="center"/>
        </w:trPr>
        <w:tc>
          <w:tcPr>
            <w:tcW w:w="906" w:type="dxa"/>
            <w:vMerge w:val="restart"/>
            <w:shd w:val="clear" w:color="auto" w:fill="auto"/>
            <w:vAlign w:val="center"/>
          </w:tcPr>
          <w:p w14:paraId="1654B0C3"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9</w:t>
            </w:r>
          </w:p>
        </w:tc>
        <w:tc>
          <w:tcPr>
            <w:tcW w:w="5588" w:type="dxa"/>
            <w:gridSpan w:val="3"/>
            <w:vMerge w:val="restart"/>
            <w:shd w:val="clear" w:color="auto" w:fill="auto"/>
            <w:vAlign w:val="center"/>
          </w:tcPr>
          <w:p w14:paraId="4A0DEE99" w14:textId="485D9F34" w:rsidR="00E145E1" w:rsidRPr="000B6B22" w:rsidRDefault="00E145E1">
            <w:pPr>
              <w:spacing w:before="0"/>
              <w:rPr>
                <w:rFonts w:ascii="Times New Roman" w:hAnsi="Times New Roman"/>
                <w:sz w:val="24"/>
              </w:rPr>
            </w:pPr>
            <w:r>
              <w:rPr>
                <w:rFonts w:ascii="Times New Roman" w:hAnsi="Times New Roman"/>
                <w:sz w:val="24"/>
              </w:rPr>
              <w:t>Οφειλόμενα ποσά από συναλλαγές χρηματοδότησης του εμπορίου με εναπομένουσα ληκτότητα που δεν υπερβαίνει τις 30 ημέρες [άρθρο 32 παράγραφος 2 στοιχείο β)]</w:t>
            </w:r>
          </w:p>
        </w:tc>
        <w:tc>
          <w:tcPr>
            <w:tcW w:w="989" w:type="dxa"/>
            <w:shd w:val="clear" w:color="auto" w:fill="auto"/>
            <w:vAlign w:val="center"/>
          </w:tcPr>
          <w:p w14:paraId="1387418C"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Ναι</w:t>
            </w:r>
          </w:p>
        </w:tc>
        <w:tc>
          <w:tcPr>
            <w:tcW w:w="2150" w:type="dxa"/>
            <w:shd w:val="clear" w:color="auto" w:fill="auto"/>
            <w:vAlign w:val="center"/>
          </w:tcPr>
          <w:p w14:paraId="46EA42CB" w14:textId="77777777" w:rsidR="00E145E1" w:rsidRPr="000B6B22" w:rsidRDefault="00E145E1" w:rsidP="009D4EFF">
            <w:pPr>
              <w:spacing w:before="0"/>
              <w:rPr>
                <w:rFonts w:ascii="Times New Roman" w:hAnsi="Times New Roman"/>
                <w:sz w:val="24"/>
              </w:rPr>
            </w:pPr>
            <w:r>
              <w:rPr>
                <w:rFonts w:ascii="Times New Roman" w:hAnsi="Times New Roman"/>
                <w:sz w:val="24"/>
              </w:rPr>
              <w:t>Γραμμή 180, ID 1.1.4</w:t>
            </w:r>
          </w:p>
        </w:tc>
      </w:tr>
      <w:tr w:rsidR="00B47B7D" w:rsidRPr="000B6B22" w14:paraId="525D91FB" w14:textId="77777777" w:rsidTr="008A4CE5">
        <w:trPr>
          <w:jc w:val="center"/>
        </w:trPr>
        <w:tc>
          <w:tcPr>
            <w:tcW w:w="906" w:type="dxa"/>
            <w:vMerge/>
            <w:shd w:val="clear" w:color="auto" w:fill="auto"/>
            <w:vAlign w:val="center"/>
          </w:tcPr>
          <w:p w14:paraId="453709D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B822D2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C0B81D7"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Όχι</w:t>
            </w:r>
          </w:p>
        </w:tc>
        <w:tc>
          <w:tcPr>
            <w:tcW w:w="2150" w:type="dxa"/>
            <w:shd w:val="clear" w:color="auto" w:fill="auto"/>
            <w:vAlign w:val="center"/>
          </w:tcPr>
          <w:p w14:paraId="6081105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10</w:t>
            </w:r>
          </w:p>
        </w:tc>
      </w:tr>
      <w:tr w:rsidR="00B47B7D" w:rsidRPr="000B6B22" w14:paraId="0CD605AD" w14:textId="77777777" w:rsidTr="008A4CE5">
        <w:trPr>
          <w:jc w:val="center"/>
        </w:trPr>
        <w:tc>
          <w:tcPr>
            <w:tcW w:w="906" w:type="dxa"/>
            <w:vMerge w:val="restart"/>
            <w:shd w:val="clear" w:color="auto" w:fill="auto"/>
            <w:vAlign w:val="center"/>
          </w:tcPr>
          <w:p w14:paraId="6AB62DFC"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10</w:t>
            </w:r>
          </w:p>
        </w:tc>
        <w:tc>
          <w:tcPr>
            <w:tcW w:w="5588" w:type="dxa"/>
            <w:gridSpan w:val="3"/>
            <w:vMerge w:val="restart"/>
            <w:shd w:val="clear" w:color="auto" w:fill="auto"/>
            <w:vAlign w:val="center"/>
          </w:tcPr>
          <w:p w14:paraId="6A0F1AA6" w14:textId="4AB16209" w:rsidR="00E145E1" w:rsidRPr="000B6B22" w:rsidRDefault="00E145E1">
            <w:pPr>
              <w:spacing w:before="0"/>
              <w:rPr>
                <w:rFonts w:ascii="Times New Roman" w:hAnsi="Times New Roman"/>
                <w:sz w:val="24"/>
              </w:rPr>
            </w:pPr>
            <w:r>
              <w:rPr>
                <w:rFonts w:ascii="Times New Roman" w:hAnsi="Times New Roman"/>
                <w:sz w:val="24"/>
              </w:rPr>
              <w:t>Δάνεια με μη προσδιορισμένη συμβατική ημερομηνία λήξης [άρθρο 32 παράγραφος 3 στοιχείο θ)]</w:t>
            </w:r>
          </w:p>
        </w:tc>
        <w:tc>
          <w:tcPr>
            <w:tcW w:w="989" w:type="dxa"/>
            <w:shd w:val="clear" w:color="auto" w:fill="auto"/>
            <w:vAlign w:val="center"/>
          </w:tcPr>
          <w:p w14:paraId="607E470B"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Ναι</w:t>
            </w:r>
          </w:p>
        </w:tc>
        <w:tc>
          <w:tcPr>
            <w:tcW w:w="2150" w:type="dxa"/>
            <w:shd w:val="clear" w:color="auto" w:fill="auto"/>
            <w:vAlign w:val="center"/>
          </w:tcPr>
          <w:p w14:paraId="67784AAF" w14:textId="77777777" w:rsidR="00E145E1" w:rsidRPr="000B6B22" w:rsidRDefault="00E145E1" w:rsidP="009D4EFF">
            <w:pPr>
              <w:spacing w:before="0"/>
              <w:rPr>
                <w:rFonts w:ascii="Times New Roman" w:hAnsi="Times New Roman"/>
                <w:sz w:val="24"/>
              </w:rPr>
            </w:pPr>
            <w:r>
              <w:rPr>
                <w:rFonts w:ascii="Times New Roman" w:hAnsi="Times New Roman"/>
                <w:sz w:val="24"/>
              </w:rPr>
              <w:t># 11</w:t>
            </w:r>
          </w:p>
        </w:tc>
      </w:tr>
      <w:tr w:rsidR="00B47B7D" w:rsidRPr="000B6B22" w14:paraId="7664B6D5" w14:textId="77777777" w:rsidTr="008A4CE5">
        <w:trPr>
          <w:jc w:val="center"/>
        </w:trPr>
        <w:tc>
          <w:tcPr>
            <w:tcW w:w="906" w:type="dxa"/>
            <w:vMerge/>
            <w:shd w:val="clear" w:color="auto" w:fill="auto"/>
            <w:vAlign w:val="center"/>
          </w:tcPr>
          <w:p w14:paraId="09A4791F"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05C74161"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823D2AC"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Όχι</w:t>
            </w:r>
          </w:p>
        </w:tc>
        <w:tc>
          <w:tcPr>
            <w:tcW w:w="2150" w:type="dxa"/>
            <w:shd w:val="clear" w:color="auto" w:fill="auto"/>
            <w:vAlign w:val="center"/>
          </w:tcPr>
          <w:p w14:paraId="2155DF5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12</w:t>
            </w:r>
          </w:p>
        </w:tc>
      </w:tr>
      <w:tr w:rsidR="00B47B7D" w:rsidRPr="000B6B22" w14:paraId="7667A40C" w14:textId="77777777" w:rsidTr="008A4CE5">
        <w:trPr>
          <w:trHeight w:val="369"/>
          <w:jc w:val="center"/>
        </w:trPr>
        <w:tc>
          <w:tcPr>
            <w:tcW w:w="906" w:type="dxa"/>
            <w:vMerge w:val="restart"/>
            <w:shd w:val="clear" w:color="auto" w:fill="auto"/>
            <w:vAlign w:val="center"/>
          </w:tcPr>
          <w:p w14:paraId="10C7011E" w14:textId="77777777" w:rsidR="00E145E1" w:rsidRPr="000B6B22" w:rsidRDefault="00E145E1" w:rsidP="009D4EFF">
            <w:pPr>
              <w:widowControl w:val="0"/>
              <w:spacing w:before="0"/>
              <w:ind w:left="7"/>
              <w:rPr>
                <w:rFonts w:ascii="Times New Roman" w:eastAsia="Calibri" w:hAnsi="Times New Roman"/>
                <w:sz w:val="24"/>
              </w:rPr>
            </w:pPr>
            <w:r>
              <w:rPr>
                <w:rFonts w:ascii="Times New Roman" w:hAnsi="Times New Roman"/>
                <w:sz w:val="24"/>
              </w:rPr>
              <w:t>11</w:t>
            </w:r>
          </w:p>
        </w:tc>
        <w:tc>
          <w:tcPr>
            <w:tcW w:w="5588" w:type="dxa"/>
            <w:gridSpan w:val="3"/>
            <w:vMerge w:val="restart"/>
            <w:shd w:val="clear" w:color="auto" w:fill="auto"/>
            <w:vAlign w:val="center"/>
          </w:tcPr>
          <w:p w14:paraId="3D829991" w14:textId="120ACC70" w:rsidR="00E145E1" w:rsidRPr="000B6B22" w:rsidRDefault="00E145E1">
            <w:pPr>
              <w:spacing w:before="0"/>
              <w:rPr>
                <w:rFonts w:ascii="Times New Roman" w:hAnsi="Times New Roman"/>
                <w:sz w:val="24"/>
              </w:rPr>
            </w:pPr>
            <w:r>
              <w:rPr>
                <w:rFonts w:ascii="Times New Roman" w:hAnsi="Times New Roman"/>
                <w:sz w:val="24"/>
              </w:rPr>
              <w:t>Πληρωμές τόκων και ελάχιστες πληρωμές από δάνεια με μη προσδιορισμένη συμβατική ημερομηνία λήξης που οφείλονται βάσει συμβάσεως και με την επιφύλαξη πραγματικής ταμειακής εισροής εντός των επόμενων 30 ημερών</w:t>
            </w:r>
          </w:p>
        </w:tc>
        <w:tc>
          <w:tcPr>
            <w:tcW w:w="989" w:type="dxa"/>
            <w:shd w:val="clear" w:color="auto" w:fill="auto"/>
            <w:vAlign w:val="center"/>
          </w:tcPr>
          <w:p w14:paraId="564A15F5"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Ναι</w:t>
            </w:r>
          </w:p>
        </w:tc>
        <w:tc>
          <w:tcPr>
            <w:tcW w:w="2150" w:type="dxa"/>
            <w:shd w:val="clear" w:color="auto" w:fill="auto"/>
            <w:vAlign w:val="center"/>
          </w:tcPr>
          <w:p w14:paraId="73394060" w14:textId="77777777" w:rsidR="00E145E1" w:rsidRPr="000B6B22" w:rsidRDefault="00E145E1" w:rsidP="009D4EFF">
            <w:pPr>
              <w:spacing w:before="0"/>
              <w:rPr>
                <w:rFonts w:ascii="Times New Roman" w:hAnsi="Times New Roman"/>
                <w:sz w:val="24"/>
              </w:rPr>
            </w:pPr>
            <w:r>
              <w:rPr>
                <w:rFonts w:ascii="Times New Roman" w:hAnsi="Times New Roman"/>
                <w:sz w:val="24"/>
              </w:rPr>
              <w:t># 12</w:t>
            </w:r>
          </w:p>
        </w:tc>
      </w:tr>
      <w:tr w:rsidR="00B47B7D" w:rsidRPr="000B6B22" w14:paraId="34E10097" w14:textId="77777777" w:rsidTr="008A4CE5">
        <w:trPr>
          <w:trHeight w:val="369"/>
          <w:jc w:val="center"/>
        </w:trPr>
        <w:tc>
          <w:tcPr>
            <w:tcW w:w="906" w:type="dxa"/>
            <w:vMerge/>
            <w:shd w:val="clear" w:color="auto" w:fill="auto"/>
            <w:vAlign w:val="center"/>
          </w:tcPr>
          <w:p w14:paraId="010D6643" w14:textId="77777777" w:rsidR="00E145E1" w:rsidRPr="000B6B22" w:rsidRDefault="00E145E1" w:rsidP="009D4EFF">
            <w:pPr>
              <w:widowControl w:val="0"/>
              <w:spacing w:before="0"/>
              <w:ind w:left="7"/>
              <w:rPr>
                <w:rFonts w:ascii="Times New Roman" w:eastAsia="Calibri" w:hAnsi="Times New Roman"/>
                <w:sz w:val="24"/>
              </w:rPr>
            </w:pPr>
          </w:p>
        </w:tc>
        <w:tc>
          <w:tcPr>
            <w:tcW w:w="5588" w:type="dxa"/>
            <w:gridSpan w:val="3"/>
            <w:vMerge/>
            <w:shd w:val="clear" w:color="auto" w:fill="auto"/>
            <w:vAlign w:val="center"/>
          </w:tcPr>
          <w:p w14:paraId="7A18BC3A" w14:textId="77777777" w:rsidR="00E145E1" w:rsidRPr="000B6B22" w:rsidRDefault="00E145E1">
            <w:pPr>
              <w:spacing w:before="0"/>
              <w:rPr>
                <w:rFonts w:ascii="Times New Roman" w:hAnsi="Times New Roman"/>
                <w:sz w:val="24"/>
              </w:rPr>
            </w:pPr>
          </w:p>
        </w:tc>
        <w:tc>
          <w:tcPr>
            <w:tcW w:w="989" w:type="dxa"/>
            <w:shd w:val="clear" w:color="auto" w:fill="auto"/>
            <w:vAlign w:val="center"/>
          </w:tcPr>
          <w:p w14:paraId="21F9FD80"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Όχι</w:t>
            </w:r>
          </w:p>
        </w:tc>
        <w:tc>
          <w:tcPr>
            <w:tcW w:w="2150" w:type="dxa"/>
            <w:shd w:val="clear" w:color="auto" w:fill="auto"/>
            <w:vAlign w:val="center"/>
          </w:tcPr>
          <w:p w14:paraId="0E7EE341" w14:textId="742BDA5D" w:rsidR="00E145E1" w:rsidRPr="000B6B22" w:rsidRDefault="00E145E1" w:rsidP="009D4EFF">
            <w:pPr>
              <w:spacing w:before="0"/>
              <w:rPr>
                <w:rFonts w:ascii="Times New Roman" w:hAnsi="Times New Roman"/>
                <w:sz w:val="24"/>
              </w:rPr>
            </w:pPr>
            <w:r>
              <w:rPr>
                <w:rFonts w:ascii="Times New Roman" w:hAnsi="Times New Roman"/>
                <w:sz w:val="24"/>
              </w:rPr>
              <w:t>Γραμμή 201, ID 1.1.6</w:t>
            </w:r>
          </w:p>
        </w:tc>
      </w:tr>
      <w:tr w:rsidR="00B47B7D" w:rsidRPr="000B6B22" w14:paraId="0D452CB5" w14:textId="77777777" w:rsidTr="008A4CE5">
        <w:trPr>
          <w:jc w:val="center"/>
        </w:trPr>
        <w:tc>
          <w:tcPr>
            <w:tcW w:w="906" w:type="dxa"/>
            <w:vMerge w:val="restart"/>
            <w:shd w:val="clear" w:color="auto" w:fill="auto"/>
            <w:vAlign w:val="center"/>
          </w:tcPr>
          <w:p w14:paraId="36E081BD"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12</w:t>
            </w:r>
          </w:p>
        </w:tc>
        <w:tc>
          <w:tcPr>
            <w:tcW w:w="5588" w:type="dxa"/>
            <w:gridSpan w:val="3"/>
            <w:vMerge w:val="restart"/>
            <w:shd w:val="clear" w:color="auto" w:fill="auto"/>
            <w:vAlign w:val="center"/>
          </w:tcPr>
          <w:p w14:paraId="5DDE042E" w14:textId="43519E02" w:rsidR="00E145E1" w:rsidRPr="000B6B22" w:rsidRDefault="00E145E1">
            <w:pPr>
              <w:spacing w:before="0"/>
              <w:rPr>
                <w:rFonts w:ascii="Times New Roman" w:hAnsi="Times New Roman"/>
                <w:sz w:val="24"/>
              </w:rPr>
            </w:pPr>
            <w:r>
              <w:rPr>
                <w:rFonts w:ascii="Times New Roman" w:hAnsi="Times New Roman"/>
                <w:sz w:val="24"/>
              </w:rPr>
              <w:t>Οφειλόμενα ποσά από θέσεις σε κύριους δείκτες μετοχικών τίτλων υπό τον όρο ότι δεν γίνεται διπλός υπολογισμός με τα ρευστά στοιχεία του ενεργητικού [άρθρο 32 παράγραφος 2 στοιχείο δ)]</w:t>
            </w:r>
          </w:p>
        </w:tc>
        <w:tc>
          <w:tcPr>
            <w:tcW w:w="989" w:type="dxa"/>
            <w:shd w:val="clear" w:color="auto" w:fill="auto"/>
            <w:vAlign w:val="center"/>
          </w:tcPr>
          <w:p w14:paraId="29532E5B"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Ναι</w:t>
            </w:r>
          </w:p>
        </w:tc>
        <w:tc>
          <w:tcPr>
            <w:tcW w:w="2150" w:type="dxa"/>
            <w:shd w:val="clear" w:color="auto" w:fill="auto"/>
            <w:vAlign w:val="center"/>
          </w:tcPr>
          <w:p w14:paraId="77262422" w14:textId="77777777" w:rsidR="00E145E1" w:rsidRPr="000B6B22" w:rsidRDefault="00E145E1" w:rsidP="009D4EFF">
            <w:pPr>
              <w:spacing w:before="0"/>
              <w:rPr>
                <w:rFonts w:ascii="Times New Roman" w:hAnsi="Times New Roman"/>
                <w:sz w:val="24"/>
              </w:rPr>
            </w:pPr>
            <w:r>
              <w:rPr>
                <w:rFonts w:ascii="Times New Roman" w:hAnsi="Times New Roman"/>
                <w:sz w:val="24"/>
              </w:rPr>
              <w:t>Γραμμή 210, ID 1.1.7</w:t>
            </w:r>
          </w:p>
        </w:tc>
      </w:tr>
      <w:tr w:rsidR="00B47B7D" w:rsidRPr="000B6B22" w14:paraId="610FD9CC" w14:textId="77777777" w:rsidTr="008A4CE5">
        <w:trPr>
          <w:jc w:val="center"/>
        </w:trPr>
        <w:tc>
          <w:tcPr>
            <w:tcW w:w="906" w:type="dxa"/>
            <w:vMerge/>
            <w:shd w:val="clear" w:color="auto" w:fill="auto"/>
            <w:vAlign w:val="center"/>
          </w:tcPr>
          <w:p w14:paraId="31D0D51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38B1205"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93F14AB"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Όχι</w:t>
            </w:r>
          </w:p>
        </w:tc>
        <w:tc>
          <w:tcPr>
            <w:tcW w:w="2150" w:type="dxa"/>
            <w:shd w:val="clear" w:color="auto" w:fill="auto"/>
            <w:vAlign w:val="center"/>
          </w:tcPr>
          <w:p w14:paraId="0408CF92"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13</w:t>
            </w:r>
          </w:p>
        </w:tc>
      </w:tr>
      <w:tr w:rsidR="00B47B7D" w:rsidRPr="000B6B22" w14:paraId="70AC5F60" w14:textId="77777777" w:rsidTr="008A4CE5">
        <w:trPr>
          <w:trHeight w:val="369"/>
          <w:jc w:val="center"/>
        </w:trPr>
        <w:tc>
          <w:tcPr>
            <w:tcW w:w="906" w:type="dxa"/>
            <w:vMerge w:val="restart"/>
            <w:shd w:val="clear" w:color="auto" w:fill="auto"/>
            <w:vAlign w:val="center"/>
          </w:tcPr>
          <w:p w14:paraId="38234512"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13</w:t>
            </w:r>
          </w:p>
        </w:tc>
        <w:tc>
          <w:tcPr>
            <w:tcW w:w="5588" w:type="dxa"/>
            <w:gridSpan w:val="3"/>
            <w:vMerge w:val="restart"/>
            <w:shd w:val="clear" w:color="auto" w:fill="auto"/>
            <w:vAlign w:val="center"/>
          </w:tcPr>
          <w:p w14:paraId="3C1D94D6" w14:textId="796C0DC4" w:rsidR="00E145E1" w:rsidRPr="000B6B22" w:rsidRDefault="00E145E1">
            <w:pPr>
              <w:spacing w:before="0"/>
              <w:rPr>
                <w:rFonts w:ascii="Times New Roman" w:hAnsi="Times New Roman"/>
                <w:sz w:val="24"/>
              </w:rPr>
            </w:pPr>
            <w:r>
              <w:rPr>
                <w:rFonts w:ascii="Times New Roman" w:hAnsi="Times New Roman"/>
                <w:sz w:val="24"/>
              </w:rPr>
              <w:t>Εισροές από την αποδέσμευση υπολοίπων που τηρούνται σε χωριστούς λογαριασμούς, σύμφωνα με τις κανονιστικές απαιτήσεις για την προστασία των στοιχείων ενεργητικού που αποτελούν αντικείμενο συναλλαγών πελατών (άρθρο 32 παράγραφος 4)</w:t>
            </w:r>
          </w:p>
        </w:tc>
        <w:tc>
          <w:tcPr>
            <w:tcW w:w="989" w:type="dxa"/>
            <w:shd w:val="clear" w:color="auto" w:fill="auto"/>
            <w:vAlign w:val="center"/>
          </w:tcPr>
          <w:p w14:paraId="55E3B2A7" w14:textId="77777777" w:rsidR="00E145E1" w:rsidRPr="000B6B22" w:rsidRDefault="00E145E1" w:rsidP="009D4EFF">
            <w:pPr>
              <w:spacing w:before="0"/>
              <w:rPr>
                <w:rFonts w:ascii="Times New Roman" w:hAnsi="Times New Roman"/>
                <w:sz w:val="24"/>
              </w:rPr>
            </w:pPr>
            <w:r>
              <w:rPr>
                <w:rFonts w:ascii="Times New Roman" w:hAnsi="Times New Roman"/>
                <w:sz w:val="24"/>
              </w:rPr>
              <w:t>Ναι</w:t>
            </w:r>
          </w:p>
        </w:tc>
        <w:tc>
          <w:tcPr>
            <w:tcW w:w="2150" w:type="dxa"/>
            <w:shd w:val="clear" w:color="auto" w:fill="auto"/>
            <w:vAlign w:val="center"/>
          </w:tcPr>
          <w:p w14:paraId="1B499380" w14:textId="41590E97" w:rsidR="00E145E1" w:rsidRPr="000B6B22" w:rsidRDefault="00E145E1" w:rsidP="009D4EFF">
            <w:pPr>
              <w:spacing w:before="0"/>
              <w:rPr>
                <w:rFonts w:ascii="Times New Roman" w:hAnsi="Times New Roman"/>
                <w:sz w:val="24"/>
              </w:rPr>
            </w:pPr>
            <w:r>
              <w:rPr>
                <w:rFonts w:ascii="Times New Roman" w:hAnsi="Times New Roman"/>
                <w:sz w:val="24"/>
              </w:rPr>
              <w:t>Γραμμή 230, ID 1.1.8</w:t>
            </w:r>
          </w:p>
        </w:tc>
      </w:tr>
      <w:tr w:rsidR="00B47B7D" w:rsidRPr="000B6B22" w14:paraId="591B91AD" w14:textId="77777777" w:rsidTr="008A4CE5">
        <w:trPr>
          <w:trHeight w:val="369"/>
          <w:jc w:val="center"/>
        </w:trPr>
        <w:tc>
          <w:tcPr>
            <w:tcW w:w="906" w:type="dxa"/>
            <w:vMerge/>
            <w:shd w:val="clear" w:color="auto" w:fill="auto"/>
            <w:vAlign w:val="center"/>
          </w:tcPr>
          <w:p w14:paraId="1FD3E9D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1FBE188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AC084FB"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Όχι</w:t>
            </w:r>
          </w:p>
        </w:tc>
        <w:tc>
          <w:tcPr>
            <w:tcW w:w="2150" w:type="dxa"/>
            <w:shd w:val="clear" w:color="auto" w:fill="auto"/>
            <w:vAlign w:val="center"/>
          </w:tcPr>
          <w:p w14:paraId="26BA6E06"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14</w:t>
            </w:r>
          </w:p>
        </w:tc>
      </w:tr>
      <w:tr w:rsidR="00B47B7D" w:rsidRPr="000B6B22" w14:paraId="08586203" w14:textId="77777777" w:rsidTr="008A4CE5">
        <w:trPr>
          <w:jc w:val="center"/>
        </w:trPr>
        <w:tc>
          <w:tcPr>
            <w:tcW w:w="906" w:type="dxa"/>
            <w:vMerge w:val="restart"/>
            <w:shd w:val="clear" w:color="auto" w:fill="auto"/>
            <w:vAlign w:val="center"/>
          </w:tcPr>
          <w:p w14:paraId="11B08E37"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14</w:t>
            </w:r>
          </w:p>
        </w:tc>
        <w:tc>
          <w:tcPr>
            <w:tcW w:w="5588" w:type="dxa"/>
            <w:gridSpan w:val="3"/>
            <w:vMerge w:val="restart"/>
            <w:shd w:val="clear" w:color="auto" w:fill="auto"/>
            <w:vAlign w:val="center"/>
          </w:tcPr>
          <w:p w14:paraId="3D4C8AD4" w14:textId="3B5D4EDB" w:rsidR="00E145E1" w:rsidRPr="000B6B22" w:rsidRDefault="00E145E1">
            <w:pPr>
              <w:spacing w:before="0"/>
              <w:rPr>
                <w:rFonts w:ascii="Times New Roman" w:hAnsi="Times New Roman"/>
                <w:sz w:val="24"/>
              </w:rPr>
            </w:pPr>
            <w:r>
              <w:rPr>
                <w:rFonts w:ascii="Times New Roman" w:hAnsi="Times New Roman"/>
                <w:sz w:val="24"/>
              </w:rPr>
              <w:t>Καθαρές ταμειακές εισροές παραγώγων ανά αντισυμβαλλόμενο και εξασφάλιση (άρθρο 32 παράγραφος 5)</w:t>
            </w:r>
          </w:p>
        </w:tc>
        <w:tc>
          <w:tcPr>
            <w:tcW w:w="989" w:type="dxa"/>
            <w:shd w:val="clear" w:color="auto" w:fill="auto"/>
            <w:vAlign w:val="center"/>
          </w:tcPr>
          <w:p w14:paraId="3C76BF5B" w14:textId="77777777" w:rsidR="00E145E1" w:rsidRPr="000B6B22" w:rsidRDefault="00E145E1" w:rsidP="009D4EFF">
            <w:pPr>
              <w:spacing w:before="0"/>
              <w:rPr>
                <w:rFonts w:ascii="Times New Roman" w:hAnsi="Times New Roman"/>
                <w:sz w:val="24"/>
              </w:rPr>
            </w:pPr>
            <w:r>
              <w:rPr>
                <w:rFonts w:ascii="Times New Roman" w:hAnsi="Times New Roman"/>
                <w:sz w:val="24"/>
              </w:rPr>
              <w:t>Ναι</w:t>
            </w:r>
          </w:p>
        </w:tc>
        <w:tc>
          <w:tcPr>
            <w:tcW w:w="2150" w:type="dxa"/>
            <w:shd w:val="clear" w:color="auto" w:fill="auto"/>
            <w:vAlign w:val="center"/>
          </w:tcPr>
          <w:p w14:paraId="3297E5D1" w14:textId="05A6EB13" w:rsidR="00E145E1" w:rsidRPr="000B6B22" w:rsidRDefault="00E145E1" w:rsidP="009D4EFF">
            <w:pPr>
              <w:spacing w:before="0"/>
              <w:rPr>
                <w:rFonts w:ascii="Times New Roman" w:hAnsi="Times New Roman"/>
                <w:sz w:val="24"/>
              </w:rPr>
            </w:pPr>
            <w:r>
              <w:rPr>
                <w:rFonts w:ascii="Times New Roman" w:hAnsi="Times New Roman"/>
                <w:sz w:val="24"/>
              </w:rPr>
              <w:t>Γραμμή 240, ID 1.1.9</w:t>
            </w:r>
          </w:p>
        </w:tc>
      </w:tr>
      <w:tr w:rsidR="00B47B7D" w:rsidRPr="000B6B22" w14:paraId="187811E9" w14:textId="77777777" w:rsidTr="008A4CE5">
        <w:trPr>
          <w:jc w:val="center"/>
        </w:trPr>
        <w:tc>
          <w:tcPr>
            <w:tcW w:w="906" w:type="dxa"/>
            <w:vMerge/>
            <w:shd w:val="clear" w:color="auto" w:fill="auto"/>
            <w:vAlign w:val="center"/>
          </w:tcPr>
          <w:p w14:paraId="41B4D3D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12F0B1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4CA19A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Όχι</w:t>
            </w:r>
          </w:p>
        </w:tc>
        <w:tc>
          <w:tcPr>
            <w:tcW w:w="2150" w:type="dxa"/>
            <w:shd w:val="clear" w:color="auto" w:fill="auto"/>
            <w:vAlign w:val="center"/>
          </w:tcPr>
          <w:p w14:paraId="2845CA8B"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15</w:t>
            </w:r>
          </w:p>
        </w:tc>
      </w:tr>
      <w:tr w:rsidR="00B47B7D" w:rsidRPr="000B6B22" w14:paraId="1159B9A9" w14:textId="77777777" w:rsidTr="008A4CE5">
        <w:trPr>
          <w:jc w:val="center"/>
        </w:trPr>
        <w:tc>
          <w:tcPr>
            <w:tcW w:w="906" w:type="dxa"/>
            <w:vMerge w:val="restart"/>
            <w:shd w:val="clear" w:color="auto" w:fill="auto"/>
            <w:vAlign w:val="center"/>
          </w:tcPr>
          <w:p w14:paraId="5153E233"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15</w:t>
            </w:r>
          </w:p>
        </w:tc>
        <w:tc>
          <w:tcPr>
            <w:tcW w:w="5588" w:type="dxa"/>
            <w:gridSpan w:val="3"/>
            <w:vMerge w:val="restart"/>
            <w:shd w:val="clear" w:color="auto" w:fill="auto"/>
            <w:vAlign w:val="center"/>
          </w:tcPr>
          <w:p w14:paraId="1A198E1B" w14:textId="10919066" w:rsidR="00E145E1" w:rsidRPr="000B6B22" w:rsidRDefault="00E145E1">
            <w:pPr>
              <w:spacing w:before="0"/>
              <w:rPr>
                <w:rFonts w:ascii="Times New Roman" w:hAnsi="Times New Roman"/>
                <w:sz w:val="24"/>
              </w:rPr>
            </w:pPr>
            <w:r>
              <w:rPr>
                <w:rFonts w:ascii="Times New Roman" w:hAnsi="Times New Roman"/>
                <w:sz w:val="24"/>
              </w:rPr>
              <w:t>Εισροές που σχετίζονται με εκροές σύμφωνα με δεσμεύσεις εκταμίευσης προνομιακών δανείων που αναφέρονται στο άρθρο 31 παράγραφος 9 [άρθρο 32 παράγραφος 3 στοιχείο α)]</w:t>
            </w:r>
          </w:p>
        </w:tc>
        <w:tc>
          <w:tcPr>
            <w:tcW w:w="989" w:type="dxa"/>
            <w:shd w:val="clear" w:color="auto" w:fill="auto"/>
            <w:vAlign w:val="center"/>
          </w:tcPr>
          <w:p w14:paraId="616D5189" w14:textId="77777777" w:rsidR="00E145E1" w:rsidRPr="000B6B22" w:rsidRDefault="00E145E1" w:rsidP="009D4EFF">
            <w:pPr>
              <w:spacing w:before="0"/>
              <w:rPr>
                <w:rFonts w:ascii="Times New Roman" w:hAnsi="Times New Roman"/>
                <w:sz w:val="24"/>
              </w:rPr>
            </w:pPr>
            <w:r>
              <w:rPr>
                <w:rFonts w:ascii="Times New Roman" w:hAnsi="Times New Roman"/>
                <w:sz w:val="24"/>
              </w:rPr>
              <w:t>Ναι</w:t>
            </w:r>
          </w:p>
        </w:tc>
        <w:tc>
          <w:tcPr>
            <w:tcW w:w="2150" w:type="dxa"/>
            <w:shd w:val="clear" w:color="auto" w:fill="auto"/>
            <w:vAlign w:val="center"/>
          </w:tcPr>
          <w:p w14:paraId="39DDE9A9" w14:textId="3D1FB08B" w:rsidR="00E145E1" w:rsidRPr="000B6B22" w:rsidRDefault="00E145E1" w:rsidP="009D4EFF">
            <w:pPr>
              <w:spacing w:before="0"/>
              <w:rPr>
                <w:rFonts w:ascii="Times New Roman" w:hAnsi="Times New Roman"/>
                <w:sz w:val="24"/>
              </w:rPr>
            </w:pPr>
            <w:r>
              <w:rPr>
                <w:rFonts w:ascii="Times New Roman" w:hAnsi="Times New Roman"/>
                <w:sz w:val="24"/>
              </w:rPr>
              <w:t>Γραμμή 170, ID 1.1.3</w:t>
            </w:r>
          </w:p>
        </w:tc>
      </w:tr>
      <w:tr w:rsidR="00B47B7D" w:rsidRPr="000B6B22" w14:paraId="41AA043E" w14:textId="77777777" w:rsidTr="008A4CE5">
        <w:trPr>
          <w:jc w:val="center"/>
        </w:trPr>
        <w:tc>
          <w:tcPr>
            <w:tcW w:w="906" w:type="dxa"/>
            <w:vMerge/>
            <w:shd w:val="clear" w:color="auto" w:fill="auto"/>
            <w:vAlign w:val="center"/>
          </w:tcPr>
          <w:p w14:paraId="3A3443E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021D3DD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6DA7444"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Όχι</w:t>
            </w:r>
          </w:p>
        </w:tc>
        <w:tc>
          <w:tcPr>
            <w:tcW w:w="2150" w:type="dxa"/>
            <w:shd w:val="clear" w:color="auto" w:fill="auto"/>
            <w:vAlign w:val="center"/>
          </w:tcPr>
          <w:p w14:paraId="75AB24A7"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16</w:t>
            </w:r>
          </w:p>
        </w:tc>
      </w:tr>
      <w:tr w:rsidR="00B47B7D" w:rsidRPr="000B6B22" w14:paraId="14228315" w14:textId="77777777" w:rsidTr="008A4CE5">
        <w:trPr>
          <w:jc w:val="center"/>
        </w:trPr>
        <w:tc>
          <w:tcPr>
            <w:tcW w:w="906" w:type="dxa"/>
            <w:vMerge w:val="restart"/>
            <w:shd w:val="clear" w:color="auto" w:fill="auto"/>
            <w:vAlign w:val="center"/>
          </w:tcPr>
          <w:p w14:paraId="327195D1"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16</w:t>
            </w:r>
          </w:p>
        </w:tc>
        <w:tc>
          <w:tcPr>
            <w:tcW w:w="5588" w:type="dxa"/>
            <w:gridSpan w:val="3"/>
            <w:vMerge w:val="restart"/>
            <w:shd w:val="clear" w:color="auto" w:fill="auto"/>
            <w:vAlign w:val="center"/>
          </w:tcPr>
          <w:p w14:paraId="4A8D3DDB" w14:textId="3E8FB035" w:rsidR="00E145E1" w:rsidRPr="000B6B22" w:rsidRDefault="00E145E1">
            <w:pPr>
              <w:spacing w:before="0"/>
              <w:rPr>
                <w:rFonts w:ascii="Times New Roman" w:hAnsi="Times New Roman"/>
                <w:sz w:val="24"/>
              </w:rPr>
            </w:pPr>
            <w:r>
              <w:rPr>
                <w:rFonts w:ascii="Times New Roman" w:hAnsi="Times New Roman"/>
                <w:sz w:val="24"/>
              </w:rPr>
              <w:t xml:space="preserve">Οφειλόμενα ποσά από κεντρικές τράπεζες και χρηματοπιστωτικούς πελάτες με εναπομένουσα </w:t>
            </w:r>
            <w:r>
              <w:rPr>
                <w:rFonts w:ascii="Times New Roman" w:hAnsi="Times New Roman"/>
                <w:sz w:val="24"/>
              </w:rPr>
              <w:lastRenderedPageBreak/>
              <w:t>ληκτότητα που δεν υπερβαίνει τις 30 ημέρες [άρθρο 32 παράγραφος 2 στοιχείο α)]</w:t>
            </w:r>
          </w:p>
        </w:tc>
        <w:tc>
          <w:tcPr>
            <w:tcW w:w="989" w:type="dxa"/>
            <w:shd w:val="clear" w:color="auto" w:fill="auto"/>
            <w:vAlign w:val="center"/>
          </w:tcPr>
          <w:p w14:paraId="278AC69D" w14:textId="77777777" w:rsidR="00E145E1" w:rsidRPr="000B6B22" w:rsidRDefault="00E145E1" w:rsidP="009D4EFF">
            <w:pPr>
              <w:spacing w:before="0"/>
              <w:rPr>
                <w:rFonts w:ascii="Times New Roman" w:hAnsi="Times New Roman"/>
                <w:sz w:val="24"/>
              </w:rPr>
            </w:pPr>
            <w:r>
              <w:rPr>
                <w:rFonts w:ascii="Times New Roman" w:hAnsi="Times New Roman"/>
                <w:sz w:val="24"/>
              </w:rPr>
              <w:lastRenderedPageBreak/>
              <w:t>Ναι</w:t>
            </w:r>
          </w:p>
        </w:tc>
        <w:tc>
          <w:tcPr>
            <w:tcW w:w="2150" w:type="dxa"/>
            <w:shd w:val="clear" w:color="auto" w:fill="auto"/>
            <w:vAlign w:val="center"/>
          </w:tcPr>
          <w:p w14:paraId="11F23687" w14:textId="09735110" w:rsidR="00E145E1" w:rsidRPr="000B6B22" w:rsidRDefault="00E145E1" w:rsidP="009D4EFF">
            <w:pPr>
              <w:spacing w:before="0"/>
              <w:rPr>
                <w:rFonts w:ascii="Times New Roman" w:hAnsi="Times New Roman"/>
                <w:sz w:val="24"/>
              </w:rPr>
            </w:pPr>
            <w:r>
              <w:rPr>
                <w:rFonts w:ascii="Times New Roman" w:hAnsi="Times New Roman"/>
                <w:sz w:val="24"/>
              </w:rPr>
              <w:t># 20</w:t>
            </w:r>
          </w:p>
        </w:tc>
      </w:tr>
      <w:tr w:rsidR="00B47B7D" w:rsidRPr="000B6B22" w14:paraId="059AC9ED" w14:textId="77777777" w:rsidTr="008A4CE5">
        <w:trPr>
          <w:jc w:val="center"/>
        </w:trPr>
        <w:tc>
          <w:tcPr>
            <w:tcW w:w="906" w:type="dxa"/>
            <w:vMerge/>
            <w:shd w:val="clear" w:color="auto" w:fill="auto"/>
            <w:vAlign w:val="center"/>
          </w:tcPr>
          <w:p w14:paraId="0B0B6C4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045F41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6B168A7"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Όχι</w:t>
            </w:r>
          </w:p>
        </w:tc>
        <w:tc>
          <w:tcPr>
            <w:tcW w:w="2150" w:type="dxa"/>
            <w:shd w:val="clear" w:color="auto" w:fill="auto"/>
            <w:vAlign w:val="center"/>
          </w:tcPr>
          <w:p w14:paraId="7F0889C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17</w:t>
            </w:r>
          </w:p>
        </w:tc>
      </w:tr>
      <w:tr w:rsidR="00B47B7D" w:rsidRPr="000B6B22" w14:paraId="20E35D9E" w14:textId="77777777" w:rsidTr="008A4CE5">
        <w:trPr>
          <w:jc w:val="center"/>
        </w:trPr>
        <w:tc>
          <w:tcPr>
            <w:tcW w:w="906" w:type="dxa"/>
            <w:vMerge w:val="restart"/>
            <w:shd w:val="clear" w:color="auto" w:fill="auto"/>
            <w:vAlign w:val="center"/>
          </w:tcPr>
          <w:p w14:paraId="1E413DC6"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17</w:t>
            </w:r>
          </w:p>
        </w:tc>
        <w:tc>
          <w:tcPr>
            <w:tcW w:w="5588" w:type="dxa"/>
            <w:gridSpan w:val="3"/>
            <w:vMerge w:val="restart"/>
            <w:shd w:val="clear" w:color="auto" w:fill="auto"/>
            <w:vAlign w:val="center"/>
          </w:tcPr>
          <w:p w14:paraId="47EBA301" w14:textId="28994DF7" w:rsidR="00E145E1" w:rsidRPr="000B6B22" w:rsidRDefault="00E145E1">
            <w:pPr>
              <w:spacing w:before="0"/>
              <w:rPr>
                <w:rFonts w:ascii="Times New Roman" w:hAnsi="Times New Roman"/>
                <w:sz w:val="24"/>
              </w:rPr>
            </w:pPr>
            <w:r>
              <w:rPr>
                <w:rFonts w:ascii="Times New Roman" w:hAnsi="Times New Roman"/>
                <w:sz w:val="24"/>
              </w:rPr>
              <w:t>Οφειλόμενα ποσά από μη χρηματοπιστωτικούς πελάτες (εξαιρουμένων των κεντρικών τραπεζών) που δεν αντιστοιχούν σε αποπληρωμή κεφαλαίου (άρθρο 32 παράγραφος 2)</w:t>
            </w:r>
          </w:p>
        </w:tc>
        <w:tc>
          <w:tcPr>
            <w:tcW w:w="989" w:type="dxa"/>
            <w:shd w:val="clear" w:color="auto" w:fill="auto"/>
            <w:vAlign w:val="center"/>
          </w:tcPr>
          <w:p w14:paraId="35D9418B" w14:textId="77777777" w:rsidR="00E145E1" w:rsidRPr="000B6B22" w:rsidRDefault="00E145E1" w:rsidP="009D4EFF">
            <w:pPr>
              <w:spacing w:before="0"/>
              <w:rPr>
                <w:rFonts w:ascii="Times New Roman" w:hAnsi="Times New Roman"/>
                <w:sz w:val="24"/>
              </w:rPr>
            </w:pPr>
            <w:r>
              <w:rPr>
                <w:rFonts w:ascii="Times New Roman" w:hAnsi="Times New Roman"/>
                <w:sz w:val="24"/>
              </w:rPr>
              <w:t>Ναι</w:t>
            </w:r>
          </w:p>
        </w:tc>
        <w:tc>
          <w:tcPr>
            <w:tcW w:w="2150" w:type="dxa"/>
            <w:shd w:val="clear" w:color="auto" w:fill="auto"/>
            <w:vAlign w:val="center"/>
          </w:tcPr>
          <w:p w14:paraId="6AB445B7" w14:textId="1C50C0C5" w:rsidR="00E145E1" w:rsidRPr="000B6B22" w:rsidRDefault="00E145E1" w:rsidP="009D4EFF">
            <w:pPr>
              <w:spacing w:before="0"/>
              <w:rPr>
                <w:rFonts w:ascii="Times New Roman" w:hAnsi="Times New Roman"/>
                <w:sz w:val="24"/>
              </w:rPr>
            </w:pPr>
            <w:r>
              <w:rPr>
                <w:rFonts w:ascii="Times New Roman" w:hAnsi="Times New Roman"/>
                <w:sz w:val="24"/>
              </w:rPr>
              <w:t>Γραμμή 040, ID 1.1.1.1</w:t>
            </w:r>
          </w:p>
        </w:tc>
      </w:tr>
      <w:tr w:rsidR="00B47B7D" w:rsidRPr="000B6B22" w14:paraId="313DF823" w14:textId="77777777" w:rsidTr="008A4CE5">
        <w:trPr>
          <w:jc w:val="center"/>
        </w:trPr>
        <w:tc>
          <w:tcPr>
            <w:tcW w:w="906" w:type="dxa"/>
            <w:vMerge/>
            <w:shd w:val="clear" w:color="auto" w:fill="auto"/>
            <w:vAlign w:val="center"/>
          </w:tcPr>
          <w:p w14:paraId="4D8B2B9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F14651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C76513B"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Όχι</w:t>
            </w:r>
          </w:p>
        </w:tc>
        <w:tc>
          <w:tcPr>
            <w:tcW w:w="2150" w:type="dxa"/>
            <w:shd w:val="clear" w:color="auto" w:fill="auto"/>
            <w:vAlign w:val="center"/>
          </w:tcPr>
          <w:p w14:paraId="621741A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18</w:t>
            </w:r>
          </w:p>
        </w:tc>
      </w:tr>
      <w:tr w:rsidR="00B47B7D" w:rsidRPr="000B6B22" w14:paraId="7245DD25" w14:textId="77777777" w:rsidTr="008A4CE5">
        <w:trPr>
          <w:jc w:val="center"/>
        </w:trPr>
        <w:tc>
          <w:tcPr>
            <w:tcW w:w="906" w:type="dxa"/>
            <w:vMerge w:val="restart"/>
            <w:shd w:val="clear" w:color="auto" w:fill="auto"/>
            <w:vAlign w:val="center"/>
          </w:tcPr>
          <w:p w14:paraId="34C9147A" w14:textId="60FFF658"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18</w:t>
            </w:r>
          </w:p>
        </w:tc>
        <w:tc>
          <w:tcPr>
            <w:tcW w:w="5588" w:type="dxa"/>
            <w:gridSpan w:val="3"/>
            <w:vMerge w:val="restart"/>
            <w:shd w:val="clear" w:color="auto" w:fill="auto"/>
            <w:vAlign w:val="center"/>
          </w:tcPr>
          <w:p w14:paraId="21236A22" w14:textId="77777777" w:rsidR="00E145E1" w:rsidRPr="000B6B22" w:rsidRDefault="00E145E1">
            <w:pPr>
              <w:spacing w:before="0"/>
              <w:rPr>
                <w:rFonts w:ascii="Times New Roman" w:hAnsi="Times New Roman"/>
                <w:sz w:val="24"/>
              </w:rPr>
            </w:pPr>
            <w:r>
              <w:rPr>
                <w:rFonts w:ascii="Times New Roman" w:hAnsi="Times New Roman"/>
                <w:sz w:val="24"/>
              </w:rPr>
              <w:t>Άλλα οφειλόμενα ποσά από μη χρηματοπιστωτικούς πελάτες (εξαιρουμένων των κεντρικών τραπεζών) [άρθρο 32 παράγραφος 3 στοιχείο α)]</w:t>
            </w:r>
          </w:p>
        </w:tc>
        <w:tc>
          <w:tcPr>
            <w:tcW w:w="989" w:type="dxa"/>
            <w:shd w:val="clear" w:color="auto" w:fill="auto"/>
            <w:vAlign w:val="center"/>
          </w:tcPr>
          <w:p w14:paraId="66AB5DB6" w14:textId="77777777" w:rsidR="00E145E1" w:rsidRPr="000B6B22" w:rsidRDefault="00E145E1" w:rsidP="009D4EFF">
            <w:pPr>
              <w:spacing w:before="0"/>
              <w:rPr>
                <w:rFonts w:ascii="Times New Roman" w:hAnsi="Times New Roman"/>
                <w:sz w:val="24"/>
              </w:rPr>
            </w:pPr>
            <w:r>
              <w:rPr>
                <w:rFonts w:ascii="Times New Roman" w:hAnsi="Times New Roman"/>
                <w:sz w:val="24"/>
              </w:rPr>
              <w:t>Ναι</w:t>
            </w:r>
          </w:p>
        </w:tc>
        <w:tc>
          <w:tcPr>
            <w:tcW w:w="2150" w:type="dxa"/>
            <w:shd w:val="clear" w:color="auto" w:fill="auto"/>
            <w:vAlign w:val="center"/>
          </w:tcPr>
          <w:p w14:paraId="5736F445" w14:textId="569A7153" w:rsidR="00E145E1" w:rsidRPr="000B6B22" w:rsidRDefault="00E145E1" w:rsidP="009D4EFF">
            <w:pPr>
              <w:spacing w:before="0"/>
              <w:rPr>
                <w:rFonts w:ascii="Times New Roman" w:hAnsi="Times New Roman"/>
                <w:sz w:val="24"/>
              </w:rPr>
            </w:pPr>
            <w:r>
              <w:rPr>
                <w:rFonts w:ascii="Times New Roman" w:hAnsi="Times New Roman"/>
                <w:sz w:val="24"/>
              </w:rPr>
              <w:t># 19</w:t>
            </w:r>
          </w:p>
        </w:tc>
      </w:tr>
      <w:tr w:rsidR="00B47B7D" w:rsidRPr="000B6B22" w14:paraId="18439963" w14:textId="77777777" w:rsidTr="008A4CE5">
        <w:trPr>
          <w:jc w:val="center"/>
        </w:trPr>
        <w:tc>
          <w:tcPr>
            <w:tcW w:w="906" w:type="dxa"/>
            <w:vMerge/>
            <w:shd w:val="clear" w:color="auto" w:fill="auto"/>
            <w:vAlign w:val="center"/>
          </w:tcPr>
          <w:p w14:paraId="7D41CBB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0317F0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5E21A82"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Όχι</w:t>
            </w:r>
          </w:p>
        </w:tc>
        <w:tc>
          <w:tcPr>
            <w:tcW w:w="2150" w:type="dxa"/>
            <w:shd w:val="clear" w:color="auto" w:fill="auto"/>
            <w:vAlign w:val="center"/>
          </w:tcPr>
          <w:p w14:paraId="2E1FE291" w14:textId="7DFA5171" w:rsidR="00E145E1" w:rsidRPr="000B6B22" w:rsidRDefault="00E145E1" w:rsidP="009D4EFF">
            <w:pPr>
              <w:widowControl w:val="0"/>
              <w:spacing w:before="0"/>
              <w:rPr>
                <w:rFonts w:ascii="Times New Roman" w:hAnsi="Times New Roman"/>
                <w:sz w:val="24"/>
              </w:rPr>
            </w:pPr>
            <w:r>
              <w:rPr>
                <w:rFonts w:ascii="Times New Roman" w:hAnsi="Times New Roman"/>
                <w:sz w:val="24"/>
              </w:rPr>
              <w:t>Γραμμή 260, ID 1.1.11.</w:t>
            </w:r>
          </w:p>
        </w:tc>
      </w:tr>
      <w:tr w:rsidR="00B47B7D" w:rsidRPr="000B6B22" w14:paraId="77B49549" w14:textId="77777777" w:rsidTr="008A4CE5">
        <w:trPr>
          <w:jc w:val="center"/>
        </w:trPr>
        <w:tc>
          <w:tcPr>
            <w:tcW w:w="906" w:type="dxa"/>
            <w:vMerge w:val="restart"/>
            <w:shd w:val="clear" w:color="auto" w:fill="auto"/>
            <w:vAlign w:val="center"/>
          </w:tcPr>
          <w:p w14:paraId="74603418" w14:textId="07136985"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19</w:t>
            </w:r>
          </w:p>
        </w:tc>
        <w:tc>
          <w:tcPr>
            <w:tcW w:w="2706" w:type="dxa"/>
            <w:vMerge w:val="restart"/>
            <w:shd w:val="clear" w:color="auto" w:fill="auto"/>
            <w:vAlign w:val="center"/>
          </w:tcPr>
          <w:p w14:paraId="29BB6159" w14:textId="77777777" w:rsidR="00E145E1" w:rsidRPr="000B6B22" w:rsidRDefault="00E145E1">
            <w:pPr>
              <w:spacing w:before="0"/>
              <w:rPr>
                <w:rFonts w:ascii="Times New Roman" w:hAnsi="Times New Roman"/>
                <w:sz w:val="24"/>
              </w:rPr>
            </w:pPr>
            <w:r>
              <w:rPr>
                <w:rFonts w:ascii="Times New Roman" w:hAnsi="Times New Roman"/>
                <w:sz w:val="24"/>
              </w:rPr>
              <w:t>Άλλα οφειλόμενα ποσά από μη χρηματοπιστωτικούς πελάτες (εξαιρουμένων των κεντρικών τραπεζών) [άρθρο 32 παράγραφος 3 στοιχείο α)]</w:t>
            </w:r>
          </w:p>
        </w:tc>
        <w:tc>
          <w:tcPr>
            <w:tcW w:w="724" w:type="dxa"/>
            <w:vMerge w:val="restart"/>
            <w:shd w:val="clear" w:color="auto" w:fill="auto"/>
            <w:vAlign w:val="center"/>
          </w:tcPr>
          <w:p w14:paraId="14926B13" w14:textId="0EC3C466" w:rsidR="00E145E1" w:rsidRPr="000B6B22" w:rsidRDefault="00E145E1" w:rsidP="009D4EFF">
            <w:pPr>
              <w:spacing w:before="0"/>
              <w:rPr>
                <w:rFonts w:ascii="Times New Roman" w:hAnsi="Times New Roman"/>
                <w:sz w:val="24"/>
              </w:rPr>
            </w:pPr>
            <w:r>
              <w:rPr>
                <w:rFonts w:ascii="Times New Roman" w:hAnsi="Times New Roman"/>
                <w:sz w:val="24"/>
              </w:rPr>
              <w:t># 19.1</w:t>
            </w:r>
          </w:p>
        </w:tc>
        <w:tc>
          <w:tcPr>
            <w:tcW w:w="2158" w:type="dxa"/>
            <w:vMerge w:val="restart"/>
            <w:shd w:val="clear" w:color="auto" w:fill="auto"/>
            <w:vAlign w:val="center"/>
          </w:tcPr>
          <w:p w14:paraId="50228647" w14:textId="77777777" w:rsidR="00E145E1" w:rsidRPr="000B6B22" w:rsidRDefault="00E145E1">
            <w:pPr>
              <w:spacing w:before="0"/>
              <w:rPr>
                <w:rFonts w:ascii="Times New Roman" w:hAnsi="Times New Roman"/>
                <w:sz w:val="24"/>
              </w:rPr>
            </w:pPr>
            <w:r>
              <w:rPr>
                <w:rFonts w:ascii="Times New Roman" w:hAnsi="Times New Roman"/>
                <w:sz w:val="24"/>
              </w:rPr>
              <w:t>Πελάτες λιανικής</w:t>
            </w:r>
          </w:p>
        </w:tc>
        <w:tc>
          <w:tcPr>
            <w:tcW w:w="989" w:type="dxa"/>
            <w:shd w:val="clear" w:color="auto" w:fill="auto"/>
            <w:vAlign w:val="center"/>
          </w:tcPr>
          <w:p w14:paraId="57862B7B" w14:textId="77777777" w:rsidR="00E145E1" w:rsidRPr="000B6B22" w:rsidRDefault="00E145E1" w:rsidP="009D4EFF">
            <w:pPr>
              <w:spacing w:before="0"/>
              <w:rPr>
                <w:rFonts w:ascii="Times New Roman" w:hAnsi="Times New Roman"/>
                <w:sz w:val="24"/>
              </w:rPr>
            </w:pPr>
            <w:r>
              <w:rPr>
                <w:rFonts w:ascii="Times New Roman" w:hAnsi="Times New Roman"/>
                <w:sz w:val="24"/>
              </w:rPr>
              <w:t>Ναι</w:t>
            </w:r>
          </w:p>
        </w:tc>
        <w:tc>
          <w:tcPr>
            <w:tcW w:w="2150" w:type="dxa"/>
            <w:shd w:val="clear" w:color="auto" w:fill="auto"/>
            <w:vAlign w:val="center"/>
          </w:tcPr>
          <w:p w14:paraId="513EF7C8" w14:textId="77777777" w:rsidR="00E145E1" w:rsidRPr="000B6B22" w:rsidRDefault="00E145E1" w:rsidP="009D4EFF">
            <w:pPr>
              <w:spacing w:before="0"/>
              <w:rPr>
                <w:rFonts w:ascii="Times New Roman" w:hAnsi="Times New Roman"/>
                <w:sz w:val="24"/>
              </w:rPr>
            </w:pPr>
            <w:r>
              <w:rPr>
                <w:rFonts w:ascii="Times New Roman" w:hAnsi="Times New Roman"/>
                <w:sz w:val="24"/>
              </w:rPr>
              <w:t>Γραμμή 060, ID 1.1.1.2.1.</w:t>
            </w:r>
          </w:p>
        </w:tc>
      </w:tr>
      <w:tr w:rsidR="00B47B7D" w:rsidRPr="000B6B22" w14:paraId="0FAD600C" w14:textId="77777777" w:rsidTr="008A4CE5">
        <w:trPr>
          <w:jc w:val="center"/>
        </w:trPr>
        <w:tc>
          <w:tcPr>
            <w:tcW w:w="906" w:type="dxa"/>
            <w:vMerge/>
            <w:shd w:val="clear" w:color="auto" w:fill="auto"/>
            <w:vAlign w:val="center"/>
          </w:tcPr>
          <w:p w14:paraId="65D0055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86A6D5D"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5F28BE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64EE3EB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2E7C5FF" w14:textId="77777777" w:rsidR="00E145E1" w:rsidRPr="000B6B22" w:rsidRDefault="00E145E1" w:rsidP="009D4EFF">
            <w:pPr>
              <w:spacing w:before="0"/>
              <w:rPr>
                <w:rFonts w:ascii="Times New Roman" w:hAnsi="Times New Roman"/>
                <w:sz w:val="24"/>
              </w:rPr>
            </w:pPr>
            <w:r>
              <w:rPr>
                <w:rFonts w:ascii="Times New Roman" w:hAnsi="Times New Roman"/>
                <w:sz w:val="24"/>
              </w:rPr>
              <w:t>Όχι</w:t>
            </w:r>
          </w:p>
        </w:tc>
        <w:tc>
          <w:tcPr>
            <w:tcW w:w="2150" w:type="dxa"/>
            <w:shd w:val="clear" w:color="auto" w:fill="auto"/>
            <w:vAlign w:val="center"/>
          </w:tcPr>
          <w:p w14:paraId="30A39C3B" w14:textId="07522F8F" w:rsidR="00E145E1" w:rsidRPr="000B6B22" w:rsidRDefault="00E145E1" w:rsidP="009D4EFF">
            <w:pPr>
              <w:spacing w:before="0"/>
              <w:rPr>
                <w:rFonts w:ascii="Times New Roman" w:hAnsi="Times New Roman"/>
                <w:sz w:val="24"/>
              </w:rPr>
            </w:pPr>
            <w:r>
              <w:rPr>
                <w:rFonts w:ascii="Times New Roman" w:hAnsi="Times New Roman"/>
                <w:sz w:val="24"/>
              </w:rPr>
              <w:t># 19.2</w:t>
            </w:r>
          </w:p>
        </w:tc>
      </w:tr>
      <w:tr w:rsidR="00B47B7D" w:rsidRPr="000B6B22" w14:paraId="55384C2C" w14:textId="77777777" w:rsidTr="008A4CE5">
        <w:trPr>
          <w:jc w:val="center"/>
        </w:trPr>
        <w:tc>
          <w:tcPr>
            <w:tcW w:w="906" w:type="dxa"/>
            <w:vMerge/>
            <w:shd w:val="clear" w:color="auto" w:fill="auto"/>
            <w:vAlign w:val="center"/>
          </w:tcPr>
          <w:p w14:paraId="094A7352" w14:textId="77777777" w:rsidR="00E145E1" w:rsidRPr="000B6B22" w:rsidRDefault="00E145E1" w:rsidP="009D4EFF">
            <w:pPr>
              <w:widowControl w:val="0"/>
              <w:spacing w:before="0"/>
              <w:ind w:left="7"/>
              <w:rPr>
                <w:rFonts w:ascii="Times New Roman" w:hAnsi="Times New Roman"/>
                <w:sz w:val="24"/>
              </w:rPr>
            </w:pPr>
          </w:p>
        </w:tc>
        <w:tc>
          <w:tcPr>
            <w:tcW w:w="2706" w:type="dxa"/>
            <w:vMerge/>
            <w:shd w:val="clear" w:color="auto" w:fill="auto"/>
            <w:vAlign w:val="center"/>
          </w:tcPr>
          <w:p w14:paraId="0836C4CB" w14:textId="77777777" w:rsidR="00E145E1" w:rsidRPr="000B6B22" w:rsidRDefault="00E145E1" w:rsidP="009D4EFF">
            <w:pPr>
              <w:widowControl w:val="0"/>
              <w:spacing w:before="0"/>
              <w:ind w:left="243"/>
              <w:rPr>
                <w:rFonts w:ascii="Times New Roman" w:hAnsi="Times New Roman"/>
                <w:sz w:val="24"/>
              </w:rPr>
            </w:pPr>
          </w:p>
        </w:tc>
        <w:tc>
          <w:tcPr>
            <w:tcW w:w="724" w:type="dxa"/>
            <w:vMerge w:val="restart"/>
            <w:shd w:val="clear" w:color="auto" w:fill="auto"/>
            <w:vAlign w:val="center"/>
          </w:tcPr>
          <w:p w14:paraId="38285578" w14:textId="76F744C2" w:rsidR="00E145E1" w:rsidRPr="000B6B22" w:rsidRDefault="00E145E1" w:rsidP="009D4EFF">
            <w:pPr>
              <w:spacing w:before="0"/>
              <w:rPr>
                <w:rFonts w:ascii="Times New Roman" w:hAnsi="Times New Roman"/>
                <w:sz w:val="24"/>
              </w:rPr>
            </w:pPr>
            <w:r>
              <w:rPr>
                <w:rFonts w:ascii="Times New Roman" w:hAnsi="Times New Roman"/>
                <w:sz w:val="24"/>
              </w:rPr>
              <w:t># 19.2</w:t>
            </w:r>
          </w:p>
        </w:tc>
        <w:tc>
          <w:tcPr>
            <w:tcW w:w="2158" w:type="dxa"/>
            <w:vMerge w:val="restart"/>
            <w:shd w:val="clear" w:color="auto" w:fill="auto"/>
            <w:vAlign w:val="center"/>
          </w:tcPr>
          <w:p w14:paraId="7E63BF7F" w14:textId="77777777" w:rsidR="00E145E1" w:rsidRPr="000B6B22" w:rsidRDefault="00E145E1">
            <w:pPr>
              <w:spacing w:before="0"/>
              <w:rPr>
                <w:rFonts w:ascii="Times New Roman" w:hAnsi="Times New Roman"/>
                <w:sz w:val="24"/>
              </w:rPr>
            </w:pPr>
            <w:r>
              <w:rPr>
                <w:rFonts w:ascii="Times New Roman" w:hAnsi="Times New Roman"/>
                <w:sz w:val="24"/>
              </w:rPr>
              <w:t>Μη χρηματοπιστωτικές επιχειρήσεις</w:t>
            </w:r>
          </w:p>
        </w:tc>
        <w:tc>
          <w:tcPr>
            <w:tcW w:w="989" w:type="dxa"/>
            <w:shd w:val="clear" w:color="auto" w:fill="auto"/>
            <w:vAlign w:val="center"/>
          </w:tcPr>
          <w:p w14:paraId="53B66259" w14:textId="77777777" w:rsidR="00E145E1" w:rsidRPr="000B6B22" w:rsidRDefault="00E145E1" w:rsidP="009D4EFF">
            <w:pPr>
              <w:spacing w:before="0"/>
              <w:rPr>
                <w:rFonts w:ascii="Times New Roman" w:hAnsi="Times New Roman"/>
                <w:sz w:val="24"/>
              </w:rPr>
            </w:pPr>
            <w:r>
              <w:rPr>
                <w:rFonts w:ascii="Times New Roman" w:hAnsi="Times New Roman"/>
                <w:sz w:val="24"/>
              </w:rPr>
              <w:t>Ναι</w:t>
            </w:r>
          </w:p>
        </w:tc>
        <w:tc>
          <w:tcPr>
            <w:tcW w:w="2150" w:type="dxa"/>
            <w:shd w:val="clear" w:color="auto" w:fill="auto"/>
            <w:vAlign w:val="center"/>
          </w:tcPr>
          <w:p w14:paraId="16E7C9E0" w14:textId="77777777" w:rsidR="00E145E1" w:rsidRPr="000B6B22" w:rsidRDefault="00E145E1" w:rsidP="009D4EFF">
            <w:pPr>
              <w:spacing w:before="0"/>
              <w:rPr>
                <w:rFonts w:ascii="Times New Roman" w:hAnsi="Times New Roman"/>
                <w:sz w:val="24"/>
              </w:rPr>
            </w:pPr>
            <w:r>
              <w:rPr>
                <w:rFonts w:ascii="Times New Roman" w:hAnsi="Times New Roman"/>
                <w:sz w:val="24"/>
              </w:rPr>
              <w:t>Γραμμή 070, ID 1.1.1.2.2</w:t>
            </w:r>
          </w:p>
        </w:tc>
      </w:tr>
      <w:tr w:rsidR="00B47B7D" w:rsidRPr="000B6B22" w14:paraId="00CB46B1" w14:textId="77777777" w:rsidTr="008A4CE5">
        <w:trPr>
          <w:jc w:val="center"/>
        </w:trPr>
        <w:tc>
          <w:tcPr>
            <w:tcW w:w="906" w:type="dxa"/>
            <w:vMerge/>
            <w:shd w:val="clear" w:color="auto" w:fill="auto"/>
            <w:vAlign w:val="center"/>
          </w:tcPr>
          <w:p w14:paraId="6BCF1DD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3B94DA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6E4B32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3EB9641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9428613" w14:textId="77777777" w:rsidR="00E145E1" w:rsidRPr="000B6B22" w:rsidRDefault="00E145E1" w:rsidP="009D4EFF">
            <w:pPr>
              <w:spacing w:before="0"/>
              <w:rPr>
                <w:rFonts w:ascii="Times New Roman" w:hAnsi="Times New Roman"/>
                <w:sz w:val="24"/>
              </w:rPr>
            </w:pPr>
            <w:r>
              <w:rPr>
                <w:rFonts w:ascii="Times New Roman" w:hAnsi="Times New Roman"/>
                <w:sz w:val="24"/>
              </w:rPr>
              <w:t>Όχι</w:t>
            </w:r>
          </w:p>
        </w:tc>
        <w:tc>
          <w:tcPr>
            <w:tcW w:w="2150" w:type="dxa"/>
            <w:shd w:val="clear" w:color="auto" w:fill="auto"/>
            <w:vAlign w:val="center"/>
          </w:tcPr>
          <w:p w14:paraId="381E6311" w14:textId="0715AF15" w:rsidR="00E145E1" w:rsidRPr="000B6B22" w:rsidRDefault="00E145E1" w:rsidP="009D4EFF">
            <w:pPr>
              <w:spacing w:before="0"/>
              <w:rPr>
                <w:rFonts w:ascii="Times New Roman" w:hAnsi="Times New Roman"/>
                <w:sz w:val="24"/>
              </w:rPr>
            </w:pPr>
            <w:r>
              <w:rPr>
                <w:rFonts w:ascii="Times New Roman" w:hAnsi="Times New Roman"/>
                <w:sz w:val="24"/>
              </w:rPr>
              <w:t># 19.3</w:t>
            </w:r>
          </w:p>
        </w:tc>
      </w:tr>
      <w:tr w:rsidR="00B47B7D" w:rsidRPr="000B6B22" w14:paraId="22A817BD" w14:textId="77777777" w:rsidTr="008A4CE5">
        <w:trPr>
          <w:jc w:val="center"/>
        </w:trPr>
        <w:tc>
          <w:tcPr>
            <w:tcW w:w="906" w:type="dxa"/>
            <w:vMerge/>
            <w:shd w:val="clear" w:color="auto" w:fill="auto"/>
            <w:vAlign w:val="center"/>
          </w:tcPr>
          <w:p w14:paraId="11639AAB" w14:textId="77777777" w:rsidR="00E145E1" w:rsidRPr="000B6B22" w:rsidRDefault="00E145E1" w:rsidP="009D4EFF">
            <w:pPr>
              <w:widowControl w:val="0"/>
              <w:spacing w:before="0"/>
              <w:ind w:left="7"/>
              <w:rPr>
                <w:rFonts w:ascii="Times New Roman" w:hAnsi="Times New Roman"/>
                <w:sz w:val="24"/>
              </w:rPr>
            </w:pPr>
          </w:p>
        </w:tc>
        <w:tc>
          <w:tcPr>
            <w:tcW w:w="2706" w:type="dxa"/>
            <w:vMerge/>
            <w:shd w:val="clear" w:color="auto" w:fill="auto"/>
            <w:vAlign w:val="center"/>
          </w:tcPr>
          <w:p w14:paraId="35314599" w14:textId="77777777" w:rsidR="00E145E1" w:rsidRPr="000B6B22" w:rsidRDefault="00E145E1" w:rsidP="009D4EFF">
            <w:pPr>
              <w:widowControl w:val="0"/>
              <w:spacing w:before="0"/>
              <w:ind w:left="243"/>
              <w:rPr>
                <w:rFonts w:ascii="Times New Roman" w:hAnsi="Times New Roman"/>
                <w:sz w:val="24"/>
              </w:rPr>
            </w:pPr>
          </w:p>
        </w:tc>
        <w:tc>
          <w:tcPr>
            <w:tcW w:w="724" w:type="dxa"/>
            <w:vMerge w:val="restart"/>
            <w:shd w:val="clear" w:color="auto" w:fill="auto"/>
            <w:vAlign w:val="center"/>
          </w:tcPr>
          <w:p w14:paraId="3E47DBC1" w14:textId="65EA5B9E" w:rsidR="00E145E1" w:rsidRPr="000B6B22" w:rsidRDefault="00E145E1" w:rsidP="009D4EFF">
            <w:pPr>
              <w:spacing w:before="0"/>
              <w:rPr>
                <w:rFonts w:ascii="Times New Roman" w:hAnsi="Times New Roman"/>
                <w:sz w:val="24"/>
              </w:rPr>
            </w:pPr>
            <w:r>
              <w:rPr>
                <w:rFonts w:ascii="Times New Roman" w:hAnsi="Times New Roman"/>
                <w:sz w:val="24"/>
              </w:rPr>
              <w:t># 19.3</w:t>
            </w:r>
          </w:p>
        </w:tc>
        <w:tc>
          <w:tcPr>
            <w:tcW w:w="2158" w:type="dxa"/>
            <w:vMerge w:val="restart"/>
            <w:shd w:val="clear" w:color="auto" w:fill="auto"/>
            <w:vAlign w:val="center"/>
          </w:tcPr>
          <w:p w14:paraId="65C66326" w14:textId="77777777" w:rsidR="00E145E1" w:rsidRPr="000B6B22" w:rsidRDefault="00E145E1">
            <w:pPr>
              <w:spacing w:before="0"/>
              <w:rPr>
                <w:rFonts w:ascii="Times New Roman" w:hAnsi="Times New Roman"/>
                <w:sz w:val="24"/>
              </w:rPr>
            </w:pPr>
            <w:r>
              <w:rPr>
                <w:rFonts w:ascii="Times New Roman" w:hAnsi="Times New Roman"/>
                <w:sz w:val="24"/>
              </w:rPr>
              <w:t>Κράτη, πολυμερείς τράπεζες ανάπτυξης και οντότητες του δημοσίου τομέα</w:t>
            </w:r>
          </w:p>
        </w:tc>
        <w:tc>
          <w:tcPr>
            <w:tcW w:w="989" w:type="dxa"/>
            <w:shd w:val="clear" w:color="auto" w:fill="auto"/>
            <w:vAlign w:val="center"/>
          </w:tcPr>
          <w:p w14:paraId="06D69DD9" w14:textId="77777777" w:rsidR="00E145E1" w:rsidRPr="000B6B22" w:rsidRDefault="00E145E1" w:rsidP="009D4EFF">
            <w:pPr>
              <w:spacing w:before="0"/>
              <w:rPr>
                <w:rFonts w:ascii="Times New Roman" w:hAnsi="Times New Roman"/>
                <w:sz w:val="24"/>
              </w:rPr>
            </w:pPr>
            <w:r>
              <w:rPr>
                <w:rFonts w:ascii="Times New Roman" w:hAnsi="Times New Roman"/>
                <w:sz w:val="24"/>
              </w:rPr>
              <w:t>Ναι</w:t>
            </w:r>
          </w:p>
        </w:tc>
        <w:tc>
          <w:tcPr>
            <w:tcW w:w="2150" w:type="dxa"/>
            <w:shd w:val="clear" w:color="auto" w:fill="auto"/>
            <w:vAlign w:val="center"/>
          </w:tcPr>
          <w:p w14:paraId="727236AA" w14:textId="77777777" w:rsidR="00E145E1" w:rsidRPr="000B6B22" w:rsidRDefault="00E145E1" w:rsidP="009D4EFF">
            <w:pPr>
              <w:spacing w:before="0"/>
              <w:rPr>
                <w:rFonts w:ascii="Times New Roman" w:hAnsi="Times New Roman"/>
                <w:sz w:val="24"/>
              </w:rPr>
            </w:pPr>
            <w:r>
              <w:rPr>
                <w:rFonts w:ascii="Times New Roman" w:hAnsi="Times New Roman"/>
                <w:sz w:val="24"/>
              </w:rPr>
              <w:t>Γραμμή 080, ID 1.1.1.2.3</w:t>
            </w:r>
          </w:p>
        </w:tc>
      </w:tr>
      <w:tr w:rsidR="00B47B7D" w:rsidRPr="000B6B22" w14:paraId="10F01ED3" w14:textId="77777777" w:rsidTr="008A4CE5">
        <w:trPr>
          <w:jc w:val="center"/>
        </w:trPr>
        <w:tc>
          <w:tcPr>
            <w:tcW w:w="906" w:type="dxa"/>
            <w:vMerge/>
            <w:shd w:val="clear" w:color="auto" w:fill="auto"/>
            <w:vAlign w:val="center"/>
          </w:tcPr>
          <w:p w14:paraId="25A36A6E"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936BD5B"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140AF2CD"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311526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A940307" w14:textId="77777777" w:rsidR="00E145E1" w:rsidRPr="000B6B22" w:rsidRDefault="00E145E1" w:rsidP="009D4EFF">
            <w:pPr>
              <w:spacing w:before="0"/>
              <w:rPr>
                <w:rFonts w:ascii="Times New Roman" w:hAnsi="Times New Roman"/>
                <w:sz w:val="24"/>
              </w:rPr>
            </w:pPr>
            <w:r>
              <w:rPr>
                <w:rFonts w:ascii="Times New Roman" w:hAnsi="Times New Roman"/>
                <w:sz w:val="24"/>
              </w:rPr>
              <w:t>Όχι</w:t>
            </w:r>
          </w:p>
        </w:tc>
        <w:tc>
          <w:tcPr>
            <w:tcW w:w="2150" w:type="dxa"/>
            <w:shd w:val="clear" w:color="auto" w:fill="auto"/>
            <w:vAlign w:val="center"/>
          </w:tcPr>
          <w:p w14:paraId="2B44FECF" w14:textId="77777777" w:rsidR="00E145E1" w:rsidRPr="000B6B22" w:rsidRDefault="00E145E1" w:rsidP="009D4EFF">
            <w:pPr>
              <w:spacing w:before="0"/>
              <w:rPr>
                <w:rFonts w:ascii="Times New Roman" w:hAnsi="Times New Roman"/>
                <w:sz w:val="24"/>
              </w:rPr>
            </w:pPr>
            <w:r>
              <w:rPr>
                <w:rFonts w:ascii="Times New Roman" w:hAnsi="Times New Roman"/>
                <w:sz w:val="24"/>
              </w:rPr>
              <w:t>Γραμμή 090, ID 1.1.1.2.4</w:t>
            </w:r>
          </w:p>
        </w:tc>
      </w:tr>
      <w:tr w:rsidR="00B47B7D" w:rsidRPr="000B6B22" w14:paraId="2485F188" w14:textId="77777777" w:rsidTr="008A4CE5">
        <w:trPr>
          <w:jc w:val="center"/>
        </w:trPr>
        <w:tc>
          <w:tcPr>
            <w:tcW w:w="906" w:type="dxa"/>
            <w:vMerge w:val="restart"/>
            <w:shd w:val="clear" w:color="auto" w:fill="auto"/>
            <w:vAlign w:val="center"/>
          </w:tcPr>
          <w:p w14:paraId="66DB2D09" w14:textId="6AC9B5EE" w:rsidR="00E145E1" w:rsidRPr="000B6B22" w:rsidRDefault="00E145E1" w:rsidP="009D4EFF">
            <w:pPr>
              <w:spacing w:before="0"/>
              <w:rPr>
                <w:rFonts w:ascii="Times New Roman" w:hAnsi="Times New Roman"/>
                <w:sz w:val="24"/>
              </w:rPr>
            </w:pPr>
            <w:r>
              <w:rPr>
                <w:rFonts w:ascii="Times New Roman" w:hAnsi="Times New Roman"/>
                <w:sz w:val="24"/>
              </w:rPr>
              <w:t>20</w:t>
            </w:r>
          </w:p>
        </w:tc>
        <w:tc>
          <w:tcPr>
            <w:tcW w:w="5588" w:type="dxa"/>
            <w:gridSpan w:val="3"/>
            <w:vMerge w:val="restart"/>
            <w:shd w:val="clear" w:color="auto" w:fill="auto"/>
            <w:vAlign w:val="center"/>
          </w:tcPr>
          <w:p w14:paraId="015BAECE" w14:textId="77777777" w:rsidR="00E145E1" w:rsidRPr="000B6B22" w:rsidRDefault="00E145E1">
            <w:pPr>
              <w:spacing w:before="0"/>
              <w:rPr>
                <w:rFonts w:ascii="Times New Roman" w:hAnsi="Times New Roman"/>
                <w:sz w:val="24"/>
              </w:rPr>
            </w:pPr>
            <w:r>
              <w:rPr>
                <w:rFonts w:ascii="Times New Roman" w:hAnsi="Times New Roman"/>
                <w:sz w:val="24"/>
              </w:rPr>
              <w:t>Εισροές από χρηματοπιστωτικούς πελάτες που χαρακτηρίζονται ως λειτουργικές καταθέσεις (άρθρο 32 παράγραφος 3 στοιχείο δ))</w:t>
            </w:r>
          </w:p>
        </w:tc>
        <w:tc>
          <w:tcPr>
            <w:tcW w:w="989" w:type="dxa"/>
            <w:shd w:val="clear" w:color="auto" w:fill="auto"/>
            <w:vAlign w:val="center"/>
          </w:tcPr>
          <w:p w14:paraId="354DC3F8" w14:textId="77777777" w:rsidR="00E145E1" w:rsidRPr="000B6B22" w:rsidRDefault="00E145E1" w:rsidP="009D4EFF">
            <w:pPr>
              <w:spacing w:before="0"/>
              <w:rPr>
                <w:rFonts w:ascii="Times New Roman" w:hAnsi="Times New Roman"/>
                <w:sz w:val="24"/>
              </w:rPr>
            </w:pPr>
            <w:r>
              <w:rPr>
                <w:rFonts w:ascii="Times New Roman" w:hAnsi="Times New Roman"/>
                <w:sz w:val="24"/>
              </w:rPr>
              <w:t>Ναι</w:t>
            </w:r>
          </w:p>
        </w:tc>
        <w:tc>
          <w:tcPr>
            <w:tcW w:w="2150" w:type="dxa"/>
            <w:shd w:val="clear" w:color="auto" w:fill="auto"/>
            <w:vAlign w:val="center"/>
          </w:tcPr>
          <w:p w14:paraId="0363BE3E" w14:textId="57555D20" w:rsidR="00E145E1" w:rsidRPr="000B6B22" w:rsidRDefault="00E145E1" w:rsidP="009D4EFF">
            <w:pPr>
              <w:spacing w:before="0"/>
              <w:rPr>
                <w:rFonts w:ascii="Times New Roman" w:hAnsi="Times New Roman"/>
                <w:sz w:val="24"/>
              </w:rPr>
            </w:pPr>
            <w:r>
              <w:rPr>
                <w:rFonts w:ascii="Times New Roman" w:hAnsi="Times New Roman"/>
                <w:sz w:val="24"/>
              </w:rPr>
              <w:t># 21</w:t>
            </w:r>
          </w:p>
        </w:tc>
      </w:tr>
      <w:tr w:rsidR="00B47B7D" w:rsidRPr="000B6B22" w14:paraId="51097183" w14:textId="77777777" w:rsidTr="008A4CE5">
        <w:trPr>
          <w:jc w:val="center"/>
        </w:trPr>
        <w:tc>
          <w:tcPr>
            <w:tcW w:w="906" w:type="dxa"/>
            <w:vMerge/>
            <w:shd w:val="clear" w:color="auto" w:fill="auto"/>
            <w:vAlign w:val="center"/>
          </w:tcPr>
          <w:p w14:paraId="418FB58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4134BAD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EF015A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Όχι</w:t>
            </w:r>
          </w:p>
        </w:tc>
        <w:tc>
          <w:tcPr>
            <w:tcW w:w="2150" w:type="dxa"/>
            <w:shd w:val="clear" w:color="auto" w:fill="auto"/>
            <w:vAlign w:val="center"/>
          </w:tcPr>
          <w:p w14:paraId="7B7BA22C" w14:textId="00E28399" w:rsidR="00E145E1" w:rsidRPr="000B6B22" w:rsidRDefault="00E145E1" w:rsidP="009D4EFF">
            <w:pPr>
              <w:widowControl w:val="0"/>
              <w:spacing w:before="0"/>
              <w:rPr>
                <w:rFonts w:ascii="Times New Roman" w:hAnsi="Times New Roman"/>
                <w:sz w:val="24"/>
              </w:rPr>
            </w:pPr>
            <w:r>
              <w:rPr>
                <w:rFonts w:ascii="Times New Roman" w:hAnsi="Times New Roman"/>
                <w:sz w:val="24"/>
              </w:rPr>
              <w:t># 22</w:t>
            </w:r>
          </w:p>
        </w:tc>
      </w:tr>
      <w:tr w:rsidR="00B47B7D" w:rsidRPr="000B6B22" w14:paraId="7DCC13CD" w14:textId="77777777" w:rsidTr="008A4CE5">
        <w:trPr>
          <w:jc w:val="center"/>
        </w:trPr>
        <w:tc>
          <w:tcPr>
            <w:tcW w:w="906" w:type="dxa"/>
            <w:vMerge w:val="restart"/>
            <w:shd w:val="clear" w:color="auto" w:fill="auto"/>
            <w:vAlign w:val="center"/>
          </w:tcPr>
          <w:p w14:paraId="72548E6C" w14:textId="0CDF3870" w:rsidR="00E145E1" w:rsidRPr="000B6B22" w:rsidRDefault="00E145E1" w:rsidP="009D4EFF">
            <w:pPr>
              <w:spacing w:before="0"/>
              <w:rPr>
                <w:rFonts w:ascii="Times New Roman" w:hAnsi="Times New Roman"/>
                <w:sz w:val="24"/>
              </w:rPr>
            </w:pPr>
            <w:r>
              <w:rPr>
                <w:rFonts w:ascii="Times New Roman" w:hAnsi="Times New Roman"/>
                <w:sz w:val="24"/>
              </w:rPr>
              <w:t>21</w:t>
            </w:r>
          </w:p>
        </w:tc>
        <w:tc>
          <w:tcPr>
            <w:tcW w:w="5588" w:type="dxa"/>
            <w:gridSpan w:val="3"/>
            <w:vMerge w:val="restart"/>
            <w:shd w:val="clear" w:color="auto" w:fill="auto"/>
            <w:vAlign w:val="center"/>
          </w:tcPr>
          <w:p w14:paraId="30E8AB4A" w14:textId="77777777" w:rsidR="00E145E1" w:rsidRPr="000B6B22" w:rsidRDefault="00E145E1">
            <w:pPr>
              <w:spacing w:before="0"/>
              <w:rPr>
                <w:rFonts w:ascii="Times New Roman" w:hAnsi="Times New Roman"/>
                <w:sz w:val="24"/>
              </w:rPr>
            </w:pPr>
            <w:r>
              <w:rPr>
                <w:rFonts w:ascii="Times New Roman" w:hAnsi="Times New Roman"/>
                <w:sz w:val="24"/>
              </w:rPr>
              <w:t>Το πιστωτικό ίδρυμα είναι σε θέση να προσδιορίσει αντίστοιχο συμμετρικό ποσοστό εισροής (άρθρο 32 παράγραφος 3 στοιχείο δ))</w:t>
            </w:r>
          </w:p>
        </w:tc>
        <w:tc>
          <w:tcPr>
            <w:tcW w:w="989" w:type="dxa"/>
            <w:shd w:val="clear" w:color="auto" w:fill="auto"/>
            <w:vAlign w:val="center"/>
          </w:tcPr>
          <w:p w14:paraId="68FFF8A4" w14:textId="77777777" w:rsidR="00E145E1" w:rsidRPr="000B6B22" w:rsidRDefault="00E145E1" w:rsidP="009D4EFF">
            <w:pPr>
              <w:spacing w:before="0"/>
              <w:rPr>
                <w:rFonts w:ascii="Times New Roman" w:hAnsi="Times New Roman"/>
                <w:sz w:val="24"/>
              </w:rPr>
            </w:pPr>
            <w:r>
              <w:rPr>
                <w:rFonts w:ascii="Times New Roman" w:hAnsi="Times New Roman"/>
                <w:sz w:val="24"/>
              </w:rPr>
              <w:t>Ναι</w:t>
            </w:r>
          </w:p>
        </w:tc>
        <w:tc>
          <w:tcPr>
            <w:tcW w:w="2150" w:type="dxa"/>
            <w:shd w:val="clear" w:color="auto" w:fill="auto"/>
            <w:vAlign w:val="center"/>
          </w:tcPr>
          <w:p w14:paraId="3EF2A5B6" w14:textId="77777777" w:rsidR="00E145E1" w:rsidRPr="000B6B22" w:rsidRDefault="00E145E1" w:rsidP="009D4EFF">
            <w:pPr>
              <w:spacing w:before="0"/>
              <w:rPr>
                <w:rFonts w:ascii="Times New Roman" w:hAnsi="Times New Roman"/>
                <w:sz w:val="24"/>
              </w:rPr>
            </w:pPr>
            <w:r>
              <w:rPr>
                <w:rFonts w:ascii="Times New Roman" w:hAnsi="Times New Roman"/>
                <w:sz w:val="24"/>
              </w:rPr>
              <w:t>Γραμμή 120, ID 1.1.2.1.1</w:t>
            </w:r>
          </w:p>
        </w:tc>
      </w:tr>
      <w:tr w:rsidR="00B47B7D" w:rsidRPr="000B6B22" w14:paraId="2A6F8244" w14:textId="77777777" w:rsidTr="008A4CE5">
        <w:trPr>
          <w:jc w:val="center"/>
        </w:trPr>
        <w:tc>
          <w:tcPr>
            <w:tcW w:w="906" w:type="dxa"/>
            <w:vMerge/>
            <w:shd w:val="clear" w:color="auto" w:fill="auto"/>
            <w:vAlign w:val="center"/>
          </w:tcPr>
          <w:p w14:paraId="192093C4"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11D17616"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BABE01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Όχι</w:t>
            </w:r>
          </w:p>
        </w:tc>
        <w:tc>
          <w:tcPr>
            <w:tcW w:w="2150" w:type="dxa"/>
            <w:shd w:val="clear" w:color="auto" w:fill="auto"/>
            <w:vAlign w:val="center"/>
          </w:tcPr>
          <w:p w14:paraId="7BC0B1B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Γραμμή 130, ID 1.1.2.1.2</w:t>
            </w:r>
          </w:p>
        </w:tc>
      </w:tr>
      <w:tr w:rsidR="00B47B7D" w:rsidRPr="000B6B22" w14:paraId="2F861006" w14:textId="77777777" w:rsidTr="008A4CE5">
        <w:trPr>
          <w:jc w:val="center"/>
        </w:trPr>
        <w:tc>
          <w:tcPr>
            <w:tcW w:w="906" w:type="dxa"/>
            <w:vMerge w:val="restart"/>
            <w:shd w:val="clear" w:color="auto" w:fill="auto"/>
            <w:vAlign w:val="center"/>
          </w:tcPr>
          <w:p w14:paraId="12E5460B" w14:textId="6A84C879" w:rsidR="00E145E1" w:rsidRPr="000B6B22" w:rsidRDefault="00E145E1" w:rsidP="009D4EFF">
            <w:pPr>
              <w:spacing w:before="0"/>
              <w:rPr>
                <w:rFonts w:ascii="Times New Roman" w:hAnsi="Times New Roman"/>
                <w:sz w:val="24"/>
              </w:rPr>
            </w:pPr>
            <w:r>
              <w:rPr>
                <w:rFonts w:ascii="Times New Roman" w:hAnsi="Times New Roman"/>
                <w:sz w:val="24"/>
              </w:rPr>
              <w:t>22</w:t>
            </w:r>
          </w:p>
        </w:tc>
        <w:tc>
          <w:tcPr>
            <w:tcW w:w="5588" w:type="dxa"/>
            <w:gridSpan w:val="3"/>
            <w:vMerge w:val="restart"/>
            <w:shd w:val="clear" w:color="auto" w:fill="auto"/>
            <w:vAlign w:val="center"/>
          </w:tcPr>
          <w:p w14:paraId="00BCD796" w14:textId="77777777" w:rsidR="00E145E1" w:rsidRPr="000B6B22" w:rsidRDefault="00E145E1">
            <w:pPr>
              <w:spacing w:before="0"/>
              <w:rPr>
                <w:rFonts w:ascii="Times New Roman" w:hAnsi="Times New Roman"/>
                <w:sz w:val="24"/>
              </w:rPr>
            </w:pPr>
            <w:r>
              <w:rPr>
                <w:rFonts w:ascii="Times New Roman" w:hAnsi="Times New Roman"/>
                <w:sz w:val="24"/>
              </w:rPr>
              <w:t>Οφειλόμενα ποσά από κεντρικές τράπεζες (άρθρο 32 παράγραφος 2 στοιχείο α))</w:t>
            </w:r>
          </w:p>
        </w:tc>
        <w:tc>
          <w:tcPr>
            <w:tcW w:w="989" w:type="dxa"/>
            <w:shd w:val="clear" w:color="auto" w:fill="auto"/>
            <w:vAlign w:val="center"/>
          </w:tcPr>
          <w:p w14:paraId="67A742D2" w14:textId="77777777" w:rsidR="00E145E1" w:rsidRPr="000B6B22" w:rsidRDefault="00E145E1" w:rsidP="009D4EFF">
            <w:pPr>
              <w:spacing w:before="0"/>
              <w:rPr>
                <w:rFonts w:ascii="Times New Roman" w:hAnsi="Times New Roman"/>
                <w:sz w:val="24"/>
              </w:rPr>
            </w:pPr>
            <w:r>
              <w:rPr>
                <w:rFonts w:ascii="Times New Roman" w:hAnsi="Times New Roman"/>
                <w:sz w:val="24"/>
              </w:rPr>
              <w:t>Ναι</w:t>
            </w:r>
          </w:p>
        </w:tc>
        <w:tc>
          <w:tcPr>
            <w:tcW w:w="2150" w:type="dxa"/>
            <w:shd w:val="clear" w:color="auto" w:fill="auto"/>
            <w:vAlign w:val="center"/>
          </w:tcPr>
          <w:p w14:paraId="16BB6E60" w14:textId="77777777" w:rsidR="00E145E1" w:rsidRPr="000B6B22" w:rsidRDefault="00E145E1" w:rsidP="009D4EFF">
            <w:pPr>
              <w:spacing w:before="0"/>
              <w:rPr>
                <w:rFonts w:ascii="Times New Roman" w:hAnsi="Times New Roman"/>
                <w:sz w:val="24"/>
              </w:rPr>
            </w:pPr>
            <w:r>
              <w:rPr>
                <w:rFonts w:ascii="Times New Roman" w:hAnsi="Times New Roman"/>
                <w:sz w:val="24"/>
              </w:rPr>
              <w:t>Γραμμή 150, ID 1.1.2.2.1</w:t>
            </w:r>
          </w:p>
        </w:tc>
      </w:tr>
      <w:tr w:rsidR="00B47B7D" w:rsidRPr="000B6B22" w14:paraId="68464ABD" w14:textId="77777777" w:rsidTr="008A4CE5">
        <w:trPr>
          <w:jc w:val="center"/>
        </w:trPr>
        <w:tc>
          <w:tcPr>
            <w:tcW w:w="906" w:type="dxa"/>
            <w:vMerge/>
            <w:shd w:val="clear" w:color="auto" w:fill="auto"/>
            <w:vAlign w:val="center"/>
          </w:tcPr>
          <w:p w14:paraId="45218408"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1D2F62E" w14:textId="77777777" w:rsidR="00E145E1" w:rsidRPr="000B6B22" w:rsidRDefault="00E145E1" w:rsidP="009D4EFF">
            <w:pPr>
              <w:spacing w:before="0"/>
              <w:rPr>
                <w:rFonts w:ascii="Times New Roman" w:hAnsi="Times New Roman"/>
                <w:sz w:val="24"/>
              </w:rPr>
            </w:pPr>
          </w:p>
        </w:tc>
        <w:tc>
          <w:tcPr>
            <w:tcW w:w="989" w:type="dxa"/>
            <w:tcBorders>
              <w:bottom w:val="single" w:sz="4" w:space="0" w:color="auto"/>
            </w:tcBorders>
            <w:shd w:val="clear" w:color="auto" w:fill="auto"/>
            <w:vAlign w:val="center"/>
          </w:tcPr>
          <w:p w14:paraId="053B234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Όχι</w:t>
            </w:r>
          </w:p>
        </w:tc>
        <w:tc>
          <w:tcPr>
            <w:tcW w:w="2150" w:type="dxa"/>
            <w:tcBorders>
              <w:bottom w:val="single" w:sz="4" w:space="0" w:color="auto"/>
            </w:tcBorders>
            <w:shd w:val="clear" w:color="auto" w:fill="auto"/>
            <w:vAlign w:val="center"/>
          </w:tcPr>
          <w:p w14:paraId="48C5D341"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Γραμμή 160, ID 1.1.2.2.2</w:t>
            </w:r>
          </w:p>
        </w:tc>
      </w:tr>
      <w:tr w:rsidR="00B47B7D" w:rsidRPr="000B6B22" w14:paraId="32E23CF1" w14:textId="77777777" w:rsidTr="008A4CE5">
        <w:trPr>
          <w:jc w:val="center"/>
        </w:trPr>
        <w:tc>
          <w:tcPr>
            <w:tcW w:w="906" w:type="dxa"/>
            <w:vMerge w:val="restart"/>
            <w:shd w:val="clear" w:color="auto" w:fill="auto"/>
            <w:vAlign w:val="center"/>
          </w:tcPr>
          <w:p w14:paraId="6BAE249A" w14:textId="030BC09C" w:rsidR="00E145E1" w:rsidRPr="000B6B22" w:rsidRDefault="00E145E1" w:rsidP="009D4EFF">
            <w:pPr>
              <w:spacing w:before="0"/>
              <w:rPr>
                <w:rFonts w:ascii="Times New Roman" w:hAnsi="Times New Roman"/>
                <w:sz w:val="24"/>
              </w:rPr>
            </w:pPr>
            <w:r>
              <w:rPr>
                <w:rFonts w:ascii="Times New Roman" w:hAnsi="Times New Roman"/>
                <w:sz w:val="24"/>
              </w:rPr>
              <w:t>23</w:t>
            </w:r>
          </w:p>
        </w:tc>
        <w:tc>
          <w:tcPr>
            <w:tcW w:w="5588" w:type="dxa"/>
            <w:gridSpan w:val="3"/>
            <w:vMerge w:val="restart"/>
            <w:shd w:val="clear" w:color="auto" w:fill="auto"/>
            <w:vAlign w:val="center"/>
          </w:tcPr>
          <w:p w14:paraId="12BF1006" w14:textId="77777777" w:rsidR="00E145E1" w:rsidRPr="000B6B22" w:rsidRDefault="00E145E1">
            <w:pPr>
              <w:spacing w:before="0"/>
              <w:rPr>
                <w:rFonts w:ascii="Times New Roman" w:hAnsi="Times New Roman"/>
                <w:sz w:val="24"/>
              </w:rPr>
            </w:pPr>
            <w:r>
              <w:rPr>
                <w:rFonts w:ascii="Times New Roman" w:hAnsi="Times New Roman"/>
                <w:sz w:val="24"/>
              </w:rPr>
              <w:t>Πράξη ανταλλαγής εξασφαλίσεων (άρθρο 32 παράγραφος 3 στοιχείο ε))</w:t>
            </w:r>
          </w:p>
        </w:tc>
        <w:tc>
          <w:tcPr>
            <w:tcW w:w="989" w:type="dxa"/>
            <w:shd w:val="clear" w:color="auto" w:fill="auto"/>
            <w:vAlign w:val="center"/>
          </w:tcPr>
          <w:p w14:paraId="46D67532" w14:textId="77777777" w:rsidR="00E145E1" w:rsidRPr="000B6B22" w:rsidRDefault="00E145E1" w:rsidP="009D4EFF">
            <w:pPr>
              <w:spacing w:before="0"/>
              <w:rPr>
                <w:rFonts w:ascii="Times New Roman" w:hAnsi="Times New Roman"/>
                <w:sz w:val="24"/>
              </w:rPr>
            </w:pPr>
            <w:r>
              <w:rPr>
                <w:rFonts w:ascii="Times New Roman" w:hAnsi="Times New Roman"/>
                <w:sz w:val="24"/>
              </w:rPr>
              <w:t>Ναι</w:t>
            </w:r>
          </w:p>
        </w:tc>
        <w:tc>
          <w:tcPr>
            <w:tcW w:w="2150" w:type="dxa"/>
            <w:shd w:val="clear" w:color="auto" w:fill="auto"/>
            <w:vAlign w:val="center"/>
          </w:tcPr>
          <w:p w14:paraId="2C5ACFCA" w14:textId="74E8D904" w:rsidR="00E145E1" w:rsidRPr="000B6B22" w:rsidRDefault="00E145E1" w:rsidP="009D4EFF">
            <w:pPr>
              <w:spacing w:before="0"/>
              <w:rPr>
                <w:rFonts w:ascii="Times New Roman" w:hAnsi="Times New Roman"/>
                <w:sz w:val="24"/>
                <w:vertAlign w:val="superscript"/>
              </w:rPr>
            </w:pPr>
            <w:r>
              <w:rPr>
                <w:rFonts w:ascii="Times New Roman" w:hAnsi="Times New Roman"/>
                <w:sz w:val="24"/>
              </w:rPr>
              <w:t>Γραμμή 410, ID 1.3</w:t>
            </w:r>
            <w:r>
              <w:rPr>
                <w:rFonts w:ascii="Times New Roman" w:hAnsi="Times New Roman"/>
                <w:sz w:val="24"/>
                <w:vertAlign w:val="superscript"/>
              </w:rPr>
              <w:footnoteReference w:id="3"/>
            </w:r>
          </w:p>
        </w:tc>
      </w:tr>
      <w:tr w:rsidR="00B47B7D" w:rsidRPr="000B6B22" w14:paraId="378FB66C" w14:textId="77777777" w:rsidTr="008A4CE5">
        <w:trPr>
          <w:jc w:val="center"/>
        </w:trPr>
        <w:tc>
          <w:tcPr>
            <w:tcW w:w="906" w:type="dxa"/>
            <w:vMerge/>
            <w:shd w:val="clear" w:color="auto" w:fill="auto"/>
            <w:vAlign w:val="center"/>
          </w:tcPr>
          <w:p w14:paraId="2C48CB1C"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FA4B7A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D27652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Όχι</w:t>
            </w:r>
          </w:p>
        </w:tc>
        <w:tc>
          <w:tcPr>
            <w:tcW w:w="2150" w:type="dxa"/>
            <w:shd w:val="clear" w:color="auto" w:fill="auto"/>
            <w:vAlign w:val="center"/>
          </w:tcPr>
          <w:p w14:paraId="1B5F7171" w14:textId="23DA5F13" w:rsidR="00E145E1" w:rsidRPr="000B6B22" w:rsidRDefault="00E145E1" w:rsidP="009D4EFF">
            <w:pPr>
              <w:widowControl w:val="0"/>
              <w:spacing w:before="0"/>
              <w:rPr>
                <w:rFonts w:ascii="Times New Roman" w:hAnsi="Times New Roman"/>
                <w:sz w:val="24"/>
              </w:rPr>
            </w:pPr>
            <w:r>
              <w:rPr>
                <w:rFonts w:ascii="Times New Roman" w:hAnsi="Times New Roman"/>
                <w:sz w:val="24"/>
              </w:rPr>
              <w:t># 24</w:t>
            </w:r>
          </w:p>
        </w:tc>
      </w:tr>
      <w:tr w:rsidR="00B47B7D" w:rsidRPr="000B6B22" w14:paraId="6BCAA460" w14:textId="77777777" w:rsidTr="008A4CE5">
        <w:trPr>
          <w:jc w:val="center"/>
        </w:trPr>
        <w:tc>
          <w:tcPr>
            <w:tcW w:w="906" w:type="dxa"/>
            <w:vMerge w:val="restart"/>
            <w:shd w:val="clear" w:color="auto" w:fill="auto"/>
            <w:vAlign w:val="center"/>
          </w:tcPr>
          <w:p w14:paraId="1F5613D2" w14:textId="77777777" w:rsidR="00E145E1" w:rsidRPr="000B6B22" w:rsidRDefault="00E145E1" w:rsidP="009D4EFF">
            <w:pPr>
              <w:spacing w:before="0"/>
              <w:rPr>
                <w:rFonts w:ascii="Times New Roman" w:hAnsi="Times New Roman"/>
                <w:sz w:val="24"/>
              </w:rPr>
            </w:pPr>
            <w:r>
              <w:rPr>
                <w:rFonts w:ascii="Times New Roman" w:hAnsi="Times New Roman"/>
                <w:sz w:val="24"/>
              </w:rPr>
              <w:t>24</w:t>
            </w:r>
          </w:p>
        </w:tc>
        <w:tc>
          <w:tcPr>
            <w:tcW w:w="5588" w:type="dxa"/>
            <w:gridSpan w:val="3"/>
            <w:vMerge w:val="restart"/>
            <w:shd w:val="clear" w:color="auto" w:fill="auto"/>
            <w:vAlign w:val="center"/>
          </w:tcPr>
          <w:p w14:paraId="444316D0" w14:textId="77777777" w:rsidR="00E145E1" w:rsidRPr="000B6B22" w:rsidRDefault="00E145E1" w:rsidP="009D4EFF">
            <w:pPr>
              <w:spacing w:before="0"/>
              <w:rPr>
                <w:rFonts w:ascii="Times New Roman" w:hAnsi="Times New Roman"/>
                <w:sz w:val="24"/>
              </w:rPr>
            </w:pPr>
            <w:r>
              <w:rPr>
                <w:rFonts w:ascii="Times New Roman" w:hAnsi="Times New Roman"/>
                <w:sz w:val="24"/>
              </w:rPr>
              <w:t>Η πράξη διενεργείται με κεντρική τράπεζα</w:t>
            </w:r>
          </w:p>
        </w:tc>
        <w:tc>
          <w:tcPr>
            <w:tcW w:w="989" w:type="dxa"/>
            <w:shd w:val="clear" w:color="auto" w:fill="auto"/>
            <w:vAlign w:val="center"/>
          </w:tcPr>
          <w:p w14:paraId="5CCEF3E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Ναι</w:t>
            </w:r>
          </w:p>
        </w:tc>
        <w:tc>
          <w:tcPr>
            <w:tcW w:w="2150" w:type="dxa"/>
            <w:shd w:val="clear" w:color="auto" w:fill="auto"/>
            <w:vAlign w:val="center"/>
          </w:tcPr>
          <w:p w14:paraId="0A6F52DD" w14:textId="0B7E269C"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25</w:t>
            </w:r>
          </w:p>
        </w:tc>
      </w:tr>
      <w:tr w:rsidR="00B47B7D" w:rsidRPr="000B6B22" w14:paraId="5D17BAF9" w14:textId="77777777" w:rsidTr="008A4CE5">
        <w:trPr>
          <w:jc w:val="center"/>
        </w:trPr>
        <w:tc>
          <w:tcPr>
            <w:tcW w:w="906" w:type="dxa"/>
            <w:vMerge/>
            <w:shd w:val="clear" w:color="auto" w:fill="auto"/>
            <w:vAlign w:val="center"/>
          </w:tcPr>
          <w:p w14:paraId="5810EAA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1C06617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BD68599"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Όχι</w:t>
            </w:r>
          </w:p>
        </w:tc>
        <w:tc>
          <w:tcPr>
            <w:tcW w:w="2150" w:type="dxa"/>
            <w:shd w:val="clear" w:color="auto" w:fill="auto"/>
            <w:vAlign w:val="center"/>
          </w:tcPr>
          <w:p w14:paraId="2FD01739" w14:textId="019BE5D3"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31</w:t>
            </w:r>
          </w:p>
        </w:tc>
      </w:tr>
      <w:tr w:rsidR="00B47B7D" w:rsidRPr="000B6B22" w14:paraId="79CD2851" w14:textId="77777777" w:rsidTr="008A4CE5">
        <w:trPr>
          <w:trHeight w:val="423"/>
          <w:jc w:val="center"/>
        </w:trPr>
        <w:tc>
          <w:tcPr>
            <w:tcW w:w="906" w:type="dxa"/>
            <w:vMerge w:val="restart"/>
            <w:shd w:val="clear" w:color="auto" w:fill="auto"/>
            <w:vAlign w:val="center"/>
          </w:tcPr>
          <w:p w14:paraId="726CD76B" w14:textId="77777777" w:rsidR="00E145E1" w:rsidRPr="000B6B22" w:rsidRDefault="00E145E1" w:rsidP="009D4EFF">
            <w:pPr>
              <w:spacing w:before="0"/>
              <w:rPr>
                <w:rFonts w:ascii="Times New Roman" w:hAnsi="Times New Roman"/>
                <w:sz w:val="24"/>
              </w:rPr>
            </w:pPr>
            <w:r>
              <w:rPr>
                <w:rFonts w:ascii="Times New Roman" w:hAnsi="Times New Roman"/>
                <w:sz w:val="24"/>
              </w:rPr>
              <w:t>25</w:t>
            </w:r>
          </w:p>
        </w:tc>
        <w:tc>
          <w:tcPr>
            <w:tcW w:w="5588" w:type="dxa"/>
            <w:gridSpan w:val="3"/>
            <w:vMerge w:val="restart"/>
            <w:shd w:val="clear" w:color="auto" w:fill="auto"/>
            <w:vAlign w:val="center"/>
          </w:tcPr>
          <w:p w14:paraId="54911277" w14:textId="77777777" w:rsidR="00E145E1" w:rsidRPr="000B6B22" w:rsidRDefault="00E145E1" w:rsidP="009D4EFF">
            <w:pPr>
              <w:spacing w:before="0"/>
              <w:rPr>
                <w:rFonts w:ascii="Times New Roman" w:hAnsi="Times New Roman"/>
                <w:sz w:val="24"/>
              </w:rPr>
            </w:pPr>
            <w:r>
              <w:rPr>
                <w:rFonts w:ascii="Times New Roman" w:hAnsi="Times New Roman"/>
                <w:sz w:val="24"/>
              </w:rPr>
              <w:t xml:space="preserve">Οι εξασφαλίσεις είναι γενικά επιλέξιμες ως ρευστά στοιχεία ενεργητικού (ανεξάρτητα από το αν χρησιμοποιούνται εκ νέου σε άλλη συναλλαγή και </w:t>
            </w:r>
            <w:r>
              <w:rPr>
                <w:rFonts w:ascii="Times New Roman" w:hAnsi="Times New Roman"/>
                <w:sz w:val="24"/>
              </w:rPr>
              <w:lastRenderedPageBreak/>
              <w:t>ανεξάρτητα από το αν το στοιχείο ενεργητικού πληροί τη λειτουργική απαίτηση του άρθρου 8)</w:t>
            </w:r>
          </w:p>
        </w:tc>
        <w:tc>
          <w:tcPr>
            <w:tcW w:w="989" w:type="dxa"/>
            <w:shd w:val="clear" w:color="auto" w:fill="auto"/>
            <w:vAlign w:val="center"/>
          </w:tcPr>
          <w:p w14:paraId="5C7E3CF7"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lastRenderedPageBreak/>
              <w:t>Ναι</w:t>
            </w:r>
          </w:p>
        </w:tc>
        <w:tc>
          <w:tcPr>
            <w:tcW w:w="2150" w:type="dxa"/>
            <w:shd w:val="clear" w:color="auto" w:fill="auto"/>
            <w:vAlign w:val="center"/>
          </w:tcPr>
          <w:p w14:paraId="71F5B27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26</w:t>
            </w:r>
          </w:p>
        </w:tc>
      </w:tr>
      <w:tr w:rsidR="00B47B7D" w:rsidRPr="000B6B22" w14:paraId="1803B175" w14:textId="77777777" w:rsidTr="008A4CE5">
        <w:trPr>
          <w:jc w:val="center"/>
        </w:trPr>
        <w:tc>
          <w:tcPr>
            <w:tcW w:w="906" w:type="dxa"/>
            <w:vMerge/>
            <w:shd w:val="clear" w:color="auto" w:fill="auto"/>
            <w:vAlign w:val="center"/>
          </w:tcPr>
          <w:p w14:paraId="4E90B392"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2045C387"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F6AE39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Όχι</w:t>
            </w:r>
          </w:p>
        </w:tc>
        <w:tc>
          <w:tcPr>
            <w:tcW w:w="2150" w:type="dxa"/>
            <w:shd w:val="clear" w:color="auto" w:fill="auto"/>
            <w:vAlign w:val="center"/>
          </w:tcPr>
          <w:p w14:paraId="32A8FD21"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30</w:t>
            </w:r>
          </w:p>
        </w:tc>
      </w:tr>
      <w:tr w:rsidR="00B47B7D" w:rsidRPr="000B6B22" w14:paraId="53B44A7B" w14:textId="77777777" w:rsidTr="008A4CE5">
        <w:trPr>
          <w:jc w:val="center"/>
        </w:trPr>
        <w:tc>
          <w:tcPr>
            <w:tcW w:w="906" w:type="dxa"/>
            <w:vMerge w:val="restart"/>
            <w:shd w:val="clear" w:color="auto" w:fill="auto"/>
            <w:vAlign w:val="center"/>
          </w:tcPr>
          <w:p w14:paraId="60BBA081" w14:textId="77777777" w:rsidR="00E145E1" w:rsidRPr="000B6B22" w:rsidRDefault="00E145E1" w:rsidP="009D4EFF">
            <w:pPr>
              <w:spacing w:before="0"/>
              <w:rPr>
                <w:rFonts w:ascii="Times New Roman" w:hAnsi="Times New Roman"/>
                <w:sz w:val="24"/>
              </w:rPr>
            </w:pPr>
            <w:r>
              <w:rPr>
                <w:rFonts w:ascii="Times New Roman" w:hAnsi="Times New Roman"/>
                <w:sz w:val="24"/>
              </w:rPr>
              <w:t>26</w:t>
            </w:r>
          </w:p>
        </w:tc>
        <w:tc>
          <w:tcPr>
            <w:tcW w:w="5588" w:type="dxa"/>
            <w:gridSpan w:val="3"/>
            <w:vMerge w:val="restart"/>
            <w:shd w:val="clear" w:color="auto" w:fill="auto"/>
            <w:vAlign w:val="center"/>
          </w:tcPr>
          <w:p w14:paraId="19096E40" w14:textId="77777777" w:rsidR="00E145E1" w:rsidRPr="000B6B22" w:rsidRDefault="00E145E1" w:rsidP="009D4EFF">
            <w:pPr>
              <w:spacing w:before="0"/>
              <w:rPr>
                <w:rFonts w:ascii="Times New Roman" w:hAnsi="Times New Roman"/>
                <w:sz w:val="24"/>
              </w:rPr>
            </w:pPr>
            <w:r>
              <w:rPr>
                <w:rFonts w:ascii="Times New Roman" w:hAnsi="Times New Roman"/>
                <w:sz w:val="24"/>
              </w:rPr>
              <w:t>Η εξασφάλιση χρησιμοποιείται για την κάλυψη αρνητικών θέσεων</w:t>
            </w:r>
          </w:p>
        </w:tc>
        <w:tc>
          <w:tcPr>
            <w:tcW w:w="989" w:type="dxa"/>
            <w:shd w:val="clear" w:color="auto" w:fill="auto"/>
            <w:vAlign w:val="center"/>
          </w:tcPr>
          <w:p w14:paraId="19D74A9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Ναι</w:t>
            </w:r>
          </w:p>
        </w:tc>
        <w:tc>
          <w:tcPr>
            <w:tcW w:w="2150" w:type="dxa"/>
            <w:shd w:val="clear" w:color="auto" w:fill="auto"/>
            <w:vAlign w:val="center"/>
          </w:tcPr>
          <w:p w14:paraId="7356602B"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Γραμμή 297, ID 1.2.1.2</w:t>
            </w:r>
          </w:p>
        </w:tc>
      </w:tr>
      <w:tr w:rsidR="00B47B7D" w:rsidRPr="000B6B22" w14:paraId="4747E3E2" w14:textId="77777777" w:rsidTr="008A4CE5">
        <w:trPr>
          <w:jc w:val="center"/>
        </w:trPr>
        <w:tc>
          <w:tcPr>
            <w:tcW w:w="906" w:type="dxa"/>
            <w:vMerge/>
            <w:shd w:val="clear" w:color="auto" w:fill="auto"/>
            <w:vAlign w:val="center"/>
          </w:tcPr>
          <w:p w14:paraId="469A2A1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234CE921"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89862BD"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Όχι</w:t>
            </w:r>
          </w:p>
        </w:tc>
        <w:tc>
          <w:tcPr>
            <w:tcW w:w="2150" w:type="dxa"/>
            <w:shd w:val="clear" w:color="auto" w:fill="auto"/>
            <w:vAlign w:val="center"/>
          </w:tcPr>
          <w:p w14:paraId="6910DF0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27</w:t>
            </w:r>
          </w:p>
        </w:tc>
      </w:tr>
      <w:tr w:rsidR="00B47B7D" w:rsidRPr="000B6B22" w14:paraId="67BFDD40" w14:textId="77777777" w:rsidTr="008A4CE5">
        <w:trPr>
          <w:jc w:val="center"/>
        </w:trPr>
        <w:tc>
          <w:tcPr>
            <w:tcW w:w="906" w:type="dxa"/>
            <w:vMerge w:val="restart"/>
            <w:shd w:val="clear" w:color="auto" w:fill="auto"/>
            <w:vAlign w:val="center"/>
          </w:tcPr>
          <w:p w14:paraId="2BFE299F" w14:textId="77777777" w:rsidR="00E145E1" w:rsidRPr="000B6B22" w:rsidRDefault="00E145E1" w:rsidP="009D4EFF">
            <w:pPr>
              <w:spacing w:before="0"/>
              <w:rPr>
                <w:rFonts w:ascii="Times New Roman" w:hAnsi="Times New Roman"/>
                <w:sz w:val="24"/>
              </w:rPr>
            </w:pPr>
            <w:r>
              <w:rPr>
                <w:rFonts w:ascii="Times New Roman" w:hAnsi="Times New Roman"/>
                <w:sz w:val="24"/>
              </w:rPr>
              <w:t>27</w:t>
            </w:r>
          </w:p>
        </w:tc>
        <w:tc>
          <w:tcPr>
            <w:tcW w:w="5588" w:type="dxa"/>
            <w:gridSpan w:val="3"/>
            <w:vMerge w:val="restart"/>
            <w:shd w:val="clear" w:color="auto" w:fill="auto"/>
            <w:vAlign w:val="center"/>
          </w:tcPr>
          <w:p w14:paraId="508F8E67" w14:textId="77777777" w:rsidR="00E145E1" w:rsidRPr="000B6B22" w:rsidRDefault="00E145E1" w:rsidP="009D4EFF">
            <w:pPr>
              <w:spacing w:before="0"/>
              <w:rPr>
                <w:rFonts w:ascii="Times New Roman" w:hAnsi="Times New Roman"/>
                <w:sz w:val="24"/>
              </w:rPr>
            </w:pPr>
            <w:r>
              <w:rPr>
                <w:rFonts w:ascii="Times New Roman" w:hAnsi="Times New Roman"/>
                <w:sz w:val="24"/>
              </w:rPr>
              <w:t>Οι εξασφαλίσεις που λαμβάνονται πληρούν τις λειτουργικές απαιτήσεις του άρθρου 8</w:t>
            </w:r>
          </w:p>
        </w:tc>
        <w:tc>
          <w:tcPr>
            <w:tcW w:w="989" w:type="dxa"/>
            <w:shd w:val="clear" w:color="auto" w:fill="auto"/>
            <w:vAlign w:val="center"/>
          </w:tcPr>
          <w:p w14:paraId="2E56F6DC"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Ναι</w:t>
            </w:r>
          </w:p>
        </w:tc>
        <w:tc>
          <w:tcPr>
            <w:tcW w:w="2150" w:type="dxa"/>
            <w:shd w:val="clear" w:color="auto" w:fill="auto"/>
            <w:vAlign w:val="center"/>
          </w:tcPr>
          <w:p w14:paraId="59492FE9"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28</w:t>
            </w:r>
          </w:p>
        </w:tc>
      </w:tr>
      <w:tr w:rsidR="00B47B7D" w:rsidRPr="000B6B22" w14:paraId="053FA29A" w14:textId="77777777" w:rsidTr="008A4CE5">
        <w:trPr>
          <w:jc w:val="center"/>
        </w:trPr>
        <w:tc>
          <w:tcPr>
            <w:tcW w:w="906" w:type="dxa"/>
            <w:vMerge/>
            <w:shd w:val="clear" w:color="auto" w:fill="auto"/>
            <w:vAlign w:val="center"/>
          </w:tcPr>
          <w:p w14:paraId="4697D7C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4A3D22D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66D70A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Όχι</w:t>
            </w:r>
          </w:p>
        </w:tc>
        <w:tc>
          <w:tcPr>
            <w:tcW w:w="2150" w:type="dxa"/>
            <w:shd w:val="clear" w:color="auto" w:fill="auto"/>
            <w:vAlign w:val="center"/>
          </w:tcPr>
          <w:p w14:paraId="4F86E65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29</w:t>
            </w:r>
          </w:p>
        </w:tc>
      </w:tr>
      <w:tr w:rsidR="00B47B7D" w:rsidRPr="000B6B22" w14:paraId="3B30E3B3" w14:textId="77777777" w:rsidTr="008A4CE5">
        <w:trPr>
          <w:jc w:val="center"/>
        </w:trPr>
        <w:tc>
          <w:tcPr>
            <w:tcW w:w="906" w:type="dxa"/>
            <w:vMerge w:val="restart"/>
            <w:shd w:val="clear" w:color="auto" w:fill="auto"/>
            <w:vAlign w:val="center"/>
          </w:tcPr>
          <w:p w14:paraId="754D9F3F" w14:textId="77777777" w:rsidR="00E145E1" w:rsidRPr="000B6B22" w:rsidRDefault="00E145E1" w:rsidP="009D4EFF">
            <w:pPr>
              <w:spacing w:before="0"/>
              <w:rPr>
                <w:rFonts w:ascii="Times New Roman" w:hAnsi="Times New Roman"/>
                <w:sz w:val="24"/>
              </w:rPr>
            </w:pPr>
            <w:r>
              <w:rPr>
                <w:rFonts w:ascii="Times New Roman" w:hAnsi="Times New Roman"/>
                <w:sz w:val="24"/>
              </w:rPr>
              <w:t>28</w:t>
            </w:r>
          </w:p>
        </w:tc>
        <w:tc>
          <w:tcPr>
            <w:tcW w:w="2706" w:type="dxa"/>
            <w:vMerge w:val="restart"/>
            <w:shd w:val="clear" w:color="auto" w:fill="auto"/>
            <w:vAlign w:val="center"/>
          </w:tcPr>
          <w:p w14:paraId="3DE321A8" w14:textId="77777777" w:rsidR="00E145E1" w:rsidRPr="000B6B22" w:rsidRDefault="00E145E1" w:rsidP="009D4EFF">
            <w:pPr>
              <w:spacing w:before="0"/>
              <w:rPr>
                <w:rFonts w:ascii="Times New Roman" w:hAnsi="Times New Roman"/>
                <w:sz w:val="24"/>
              </w:rPr>
            </w:pPr>
            <w:r>
              <w:rPr>
                <w:rFonts w:ascii="Times New Roman" w:hAnsi="Times New Roman"/>
                <w:sz w:val="24"/>
              </w:rPr>
              <w:t>Πράξη εξασφαλισμένης χρηματοδότησης που εξασφαλίζεται με (άρθρο 32 παράγραφος 3 στοιχείο β)):</w:t>
            </w:r>
          </w:p>
        </w:tc>
        <w:tc>
          <w:tcPr>
            <w:tcW w:w="724" w:type="dxa"/>
            <w:vMerge w:val="restart"/>
            <w:shd w:val="clear" w:color="auto" w:fill="auto"/>
            <w:vAlign w:val="center"/>
          </w:tcPr>
          <w:p w14:paraId="4D8F07EA" w14:textId="77777777" w:rsidR="00E145E1" w:rsidRPr="000B6B22" w:rsidRDefault="00E145E1" w:rsidP="009D4EFF">
            <w:pPr>
              <w:spacing w:before="0"/>
              <w:rPr>
                <w:rFonts w:ascii="Times New Roman" w:hAnsi="Times New Roman"/>
                <w:sz w:val="24"/>
              </w:rPr>
            </w:pPr>
            <w:r>
              <w:rPr>
                <w:rFonts w:ascii="Times New Roman" w:hAnsi="Times New Roman"/>
                <w:sz w:val="24"/>
              </w:rPr>
              <w:t># 28.1</w:t>
            </w:r>
          </w:p>
        </w:tc>
        <w:tc>
          <w:tcPr>
            <w:tcW w:w="2158" w:type="dxa"/>
            <w:vMerge w:val="restart"/>
            <w:shd w:val="clear" w:color="auto" w:fill="auto"/>
            <w:vAlign w:val="center"/>
          </w:tcPr>
          <w:p w14:paraId="032F8CB4" w14:textId="77777777" w:rsidR="00E145E1" w:rsidRPr="000B6B22" w:rsidRDefault="00E145E1" w:rsidP="009D4EFF">
            <w:pPr>
              <w:spacing w:before="0"/>
              <w:rPr>
                <w:rFonts w:ascii="Times New Roman" w:hAnsi="Times New Roman"/>
                <w:sz w:val="24"/>
              </w:rPr>
            </w:pPr>
            <w:r>
              <w:rPr>
                <w:rFonts w:ascii="Times New Roman" w:hAnsi="Times New Roman"/>
                <w:sz w:val="24"/>
              </w:rPr>
              <w:t>Εξασφαλίσεις επιπέδου 1, εξαιρουμένων των εξαιρετικά υψηλής ποιότητας καλυμμένων ομολόγων</w:t>
            </w:r>
          </w:p>
        </w:tc>
        <w:tc>
          <w:tcPr>
            <w:tcW w:w="989" w:type="dxa"/>
            <w:shd w:val="clear" w:color="auto" w:fill="auto"/>
            <w:vAlign w:val="center"/>
          </w:tcPr>
          <w:p w14:paraId="5235900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Ναι</w:t>
            </w:r>
          </w:p>
        </w:tc>
        <w:tc>
          <w:tcPr>
            <w:tcW w:w="2150" w:type="dxa"/>
            <w:shd w:val="clear" w:color="auto" w:fill="auto"/>
            <w:vAlign w:val="center"/>
          </w:tcPr>
          <w:p w14:paraId="6BE471E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Γραμμή 269, ID 1.2.1.1.1 </w:t>
            </w:r>
          </w:p>
          <w:p w14:paraId="35F2B5B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Γραμμή 271, ID 1.2.1.1.1.1</w:t>
            </w:r>
          </w:p>
        </w:tc>
      </w:tr>
      <w:tr w:rsidR="00B47B7D" w:rsidRPr="000B6B22" w14:paraId="45FC1C6A" w14:textId="77777777" w:rsidTr="008A4CE5">
        <w:trPr>
          <w:jc w:val="center"/>
        </w:trPr>
        <w:tc>
          <w:tcPr>
            <w:tcW w:w="906" w:type="dxa"/>
            <w:vMerge/>
            <w:shd w:val="clear" w:color="auto" w:fill="auto"/>
            <w:vAlign w:val="center"/>
          </w:tcPr>
          <w:p w14:paraId="5D9C1DC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92FF7C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0421B0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1313FE84"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117C40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Όχι</w:t>
            </w:r>
          </w:p>
        </w:tc>
        <w:tc>
          <w:tcPr>
            <w:tcW w:w="2150" w:type="dxa"/>
            <w:shd w:val="clear" w:color="auto" w:fill="auto"/>
            <w:vAlign w:val="center"/>
          </w:tcPr>
          <w:p w14:paraId="07C9061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28.2</w:t>
            </w:r>
          </w:p>
        </w:tc>
      </w:tr>
      <w:tr w:rsidR="00B47B7D" w:rsidRPr="000B6B22" w14:paraId="31D89585" w14:textId="77777777" w:rsidTr="008A4CE5">
        <w:trPr>
          <w:jc w:val="center"/>
        </w:trPr>
        <w:tc>
          <w:tcPr>
            <w:tcW w:w="906" w:type="dxa"/>
            <w:vMerge/>
            <w:shd w:val="clear" w:color="auto" w:fill="auto"/>
            <w:vAlign w:val="center"/>
          </w:tcPr>
          <w:p w14:paraId="73DAF558"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203299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E5FE3DE" w14:textId="77777777" w:rsidR="00E145E1" w:rsidRPr="000B6B22" w:rsidRDefault="00E145E1" w:rsidP="009D4EFF">
            <w:pPr>
              <w:spacing w:before="0"/>
              <w:rPr>
                <w:rFonts w:ascii="Times New Roman" w:hAnsi="Times New Roman"/>
                <w:sz w:val="24"/>
              </w:rPr>
            </w:pPr>
            <w:r>
              <w:rPr>
                <w:rFonts w:ascii="Times New Roman" w:hAnsi="Times New Roman"/>
                <w:sz w:val="24"/>
              </w:rPr>
              <w:t># 28.2</w:t>
            </w:r>
          </w:p>
        </w:tc>
        <w:tc>
          <w:tcPr>
            <w:tcW w:w="2158" w:type="dxa"/>
            <w:vMerge w:val="restart"/>
            <w:shd w:val="clear" w:color="auto" w:fill="auto"/>
            <w:vAlign w:val="center"/>
          </w:tcPr>
          <w:p w14:paraId="7FB59D34" w14:textId="77777777" w:rsidR="00E145E1" w:rsidRPr="000B6B22" w:rsidRDefault="00E145E1" w:rsidP="009D4EFF">
            <w:pPr>
              <w:spacing w:before="0"/>
              <w:rPr>
                <w:rFonts w:ascii="Times New Roman" w:hAnsi="Times New Roman"/>
                <w:sz w:val="24"/>
              </w:rPr>
            </w:pPr>
            <w:r>
              <w:rPr>
                <w:rFonts w:ascii="Times New Roman" w:hAnsi="Times New Roman"/>
                <w:sz w:val="24"/>
              </w:rPr>
              <w:t>Εξασφαλίσεις με εξαιρετικά υψηλής ποιότητας καλυμμένα ομόλογα επιπέδου 1</w:t>
            </w:r>
          </w:p>
        </w:tc>
        <w:tc>
          <w:tcPr>
            <w:tcW w:w="989" w:type="dxa"/>
            <w:shd w:val="clear" w:color="auto" w:fill="auto"/>
            <w:vAlign w:val="center"/>
          </w:tcPr>
          <w:p w14:paraId="755CC0C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Ναι</w:t>
            </w:r>
          </w:p>
        </w:tc>
        <w:tc>
          <w:tcPr>
            <w:tcW w:w="2150" w:type="dxa"/>
            <w:shd w:val="clear" w:color="auto" w:fill="auto"/>
            <w:vAlign w:val="center"/>
          </w:tcPr>
          <w:p w14:paraId="025BCFD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Γραμμή 273, ID 1.2.1.1.2 + </w:t>
            </w:r>
          </w:p>
          <w:p w14:paraId="1740F3E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Γραμμή 275, ID 1.2.1.1.2.1</w:t>
            </w:r>
          </w:p>
        </w:tc>
      </w:tr>
      <w:tr w:rsidR="00B47B7D" w:rsidRPr="000B6B22" w14:paraId="07A47ECB" w14:textId="77777777" w:rsidTr="008A4CE5">
        <w:trPr>
          <w:jc w:val="center"/>
        </w:trPr>
        <w:tc>
          <w:tcPr>
            <w:tcW w:w="906" w:type="dxa"/>
            <w:vMerge/>
            <w:shd w:val="clear" w:color="auto" w:fill="auto"/>
            <w:vAlign w:val="center"/>
          </w:tcPr>
          <w:p w14:paraId="5CECE230"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6AE213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13DAD72"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1633E687"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01F8309"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Όχι</w:t>
            </w:r>
          </w:p>
        </w:tc>
        <w:tc>
          <w:tcPr>
            <w:tcW w:w="2150" w:type="dxa"/>
            <w:shd w:val="clear" w:color="auto" w:fill="auto"/>
            <w:vAlign w:val="center"/>
          </w:tcPr>
          <w:p w14:paraId="33F2E0BD"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28.3</w:t>
            </w:r>
          </w:p>
        </w:tc>
      </w:tr>
      <w:tr w:rsidR="00B47B7D" w:rsidRPr="000B6B22" w14:paraId="012ADBED" w14:textId="77777777" w:rsidTr="008A4CE5">
        <w:trPr>
          <w:jc w:val="center"/>
        </w:trPr>
        <w:tc>
          <w:tcPr>
            <w:tcW w:w="906" w:type="dxa"/>
            <w:vMerge/>
            <w:shd w:val="clear" w:color="auto" w:fill="auto"/>
            <w:vAlign w:val="center"/>
          </w:tcPr>
          <w:p w14:paraId="4CA0D3D7"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0EBAB62"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7C1AA4FE" w14:textId="77777777" w:rsidR="00E145E1" w:rsidRPr="000B6B22" w:rsidRDefault="00E145E1" w:rsidP="009D4EFF">
            <w:pPr>
              <w:spacing w:before="0"/>
              <w:rPr>
                <w:rFonts w:ascii="Times New Roman" w:hAnsi="Times New Roman"/>
                <w:sz w:val="24"/>
              </w:rPr>
            </w:pPr>
            <w:r>
              <w:rPr>
                <w:rFonts w:ascii="Times New Roman" w:hAnsi="Times New Roman"/>
                <w:sz w:val="24"/>
              </w:rPr>
              <w:t># 28.3</w:t>
            </w:r>
          </w:p>
        </w:tc>
        <w:tc>
          <w:tcPr>
            <w:tcW w:w="2158" w:type="dxa"/>
            <w:vMerge w:val="restart"/>
            <w:shd w:val="clear" w:color="auto" w:fill="auto"/>
            <w:vAlign w:val="center"/>
          </w:tcPr>
          <w:p w14:paraId="25388EAC" w14:textId="77777777" w:rsidR="00E145E1" w:rsidRPr="000B6B22" w:rsidRDefault="00E145E1" w:rsidP="009D4EFF">
            <w:pPr>
              <w:spacing w:before="0"/>
              <w:rPr>
                <w:rFonts w:ascii="Times New Roman" w:hAnsi="Times New Roman"/>
                <w:sz w:val="24"/>
              </w:rPr>
            </w:pPr>
            <w:r>
              <w:rPr>
                <w:rFonts w:ascii="Times New Roman" w:hAnsi="Times New Roman"/>
                <w:sz w:val="24"/>
              </w:rPr>
              <w:t>Εξασφαλίσεις επιπέδου 2Α</w:t>
            </w:r>
          </w:p>
        </w:tc>
        <w:tc>
          <w:tcPr>
            <w:tcW w:w="989" w:type="dxa"/>
            <w:shd w:val="clear" w:color="auto" w:fill="auto"/>
            <w:vAlign w:val="center"/>
          </w:tcPr>
          <w:p w14:paraId="05C633A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Ναι</w:t>
            </w:r>
          </w:p>
        </w:tc>
        <w:tc>
          <w:tcPr>
            <w:tcW w:w="2150" w:type="dxa"/>
            <w:shd w:val="clear" w:color="auto" w:fill="auto"/>
            <w:vAlign w:val="center"/>
          </w:tcPr>
          <w:p w14:paraId="1FB7647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Γραμμή 277, ID 1.2.1.1.3 + </w:t>
            </w:r>
          </w:p>
          <w:p w14:paraId="599696FA"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Γραμμή 279, ID 1.2.1.1.3.1</w:t>
            </w:r>
          </w:p>
        </w:tc>
      </w:tr>
      <w:tr w:rsidR="00B47B7D" w:rsidRPr="000B6B22" w14:paraId="69B08F1D" w14:textId="77777777" w:rsidTr="008A4CE5">
        <w:trPr>
          <w:jc w:val="center"/>
        </w:trPr>
        <w:tc>
          <w:tcPr>
            <w:tcW w:w="906" w:type="dxa"/>
            <w:vMerge/>
            <w:shd w:val="clear" w:color="auto" w:fill="auto"/>
            <w:vAlign w:val="center"/>
          </w:tcPr>
          <w:p w14:paraId="6443C42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6C9CB3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685CC41"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65F9BA3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868EF2D"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Όχι</w:t>
            </w:r>
          </w:p>
        </w:tc>
        <w:tc>
          <w:tcPr>
            <w:tcW w:w="2150" w:type="dxa"/>
            <w:shd w:val="clear" w:color="auto" w:fill="auto"/>
            <w:vAlign w:val="center"/>
          </w:tcPr>
          <w:p w14:paraId="2CAC511D"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28.4</w:t>
            </w:r>
          </w:p>
        </w:tc>
      </w:tr>
      <w:tr w:rsidR="00B47B7D" w:rsidRPr="000B6B22" w14:paraId="4318401E" w14:textId="77777777" w:rsidTr="00454544">
        <w:trPr>
          <w:trHeight w:val="737"/>
          <w:jc w:val="center"/>
        </w:trPr>
        <w:tc>
          <w:tcPr>
            <w:tcW w:w="906" w:type="dxa"/>
            <w:vMerge/>
            <w:shd w:val="clear" w:color="auto" w:fill="auto"/>
            <w:vAlign w:val="center"/>
          </w:tcPr>
          <w:p w14:paraId="356F339D"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61BCCF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73935C79" w14:textId="77777777" w:rsidR="00E145E1" w:rsidRPr="000B6B22" w:rsidRDefault="00E145E1" w:rsidP="009D4EFF">
            <w:pPr>
              <w:spacing w:before="0"/>
              <w:rPr>
                <w:rFonts w:ascii="Times New Roman" w:hAnsi="Times New Roman"/>
                <w:sz w:val="24"/>
              </w:rPr>
            </w:pPr>
            <w:r>
              <w:rPr>
                <w:rFonts w:ascii="Times New Roman" w:hAnsi="Times New Roman"/>
                <w:sz w:val="24"/>
              </w:rPr>
              <w:t># 28.4</w:t>
            </w:r>
          </w:p>
        </w:tc>
        <w:tc>
          <w:tcPr>
            <w:tcW w:w="2158" w:type="dxa"/>
            <w:vMerge w:val="restart"/>
            <w:shd w:val="clear" w:color="auto" w:fill="auto"/>
            <w:vAlign w:val="center"/>
          </w:tcPr>
          <w:p w14:paraId="774F7CFF" w14:textId="77777777" w:rsidR="00E145E1" w:rsidRPr="000B6B22" w:rsidRDefault="00E145E1" w:rsidP="009D4EFF">
            <w:pPr>
              <w:spacing w:before="0"/>
              <w:rPr>
                <w:rFonts w:ascii="Times New Roman" w:hAnsi="Times New Roman"/>
                <w:sz w:val="24"/>
              </w:rPr>
            </w:pPr>
            <w:r>
              <w:rPr>
                <w:rFonts w:ascii="Times New Roman" w:hAnsi="Times New Roman"/>
                <w:sz w:val="24"/>
              </w:rPr>
              <w:t>Εξασφαλίσεις με επιπέδου 2B τίτλους από τιτλοποίηση (στεγαστικά δάνεια ή δάνεια για την αγορά αυτοκινήτου)</w:t>
            </w:r>
          </w:p>
        </w:tc>
        <w:tc>
          <w:tcPr>
            <w:tcW w:w="989" w:type="dxa"/>
            <w:shd w:val="clear" w:color="auto" w:fill="auto"/>
            <w:vAlign w:val="center"/>
          </w:tcPr>
          <w:p w14:paraId="3F7B4A5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Ναι</w:t>
            </w:r>
          </w:p>
        </w:tc>
        <w:tc>
          <w:tcPr>
            <w:tcW w:w="2150" w:type="dxa"/>
            <w:shd w:val="clear" w:color="auto" w:fill="auto"/>
            <w:vAlign w:val="center"/>
          </w:tcPr>
          <w:p w14:paraId="77DF76E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Γραμμή 281, ID 1.2.1.1.4 + </w:t>
            </w:r>
          </w:p>
          <w:p w14:paraId="52E1FF9E"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Γραμμή 283, ID 1.2.1.1.4.1</w:t>
            </w:r>
          </w:p>
        </w:tc>
      </w:tr>
      <w:tr w:rsidR="00B47B7D" w:rsidRPr="000B6B22" w14:paraId="3F9C1ED9" w14:textId="77777777" w:rsidTr="008A4CE5">
        <w:trPr>
          <w:jc w:val="center"/>
        </w:trPr>
        <w:tc>
          <w:tcPr>
            <w:tcW w:w="906" w:type="dxa"/>
            <w:vMerge/>
            <w:shd w:val="clear" w:color="auto" w:fill="auto"/>
            <w:vAlign w:val="center"/>
          </w:tcPr>
          <w:p w14:paraId="1460921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7D087D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5F831FF"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DA2FD3F"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0DA2C3D"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Όχι</w:t>
            </w:r>
          </w:p>
        </w:tc>
        <w:tc>
          <w:tcPr>
            <w:tcW w:w="2150" w:type="dxa"/>
            <w:shd w:val="clear" w:color="auto" w:fill="auto"/>
            <w:vAlign w:val="center"/>
          </w:tcPr>
          <w:p w14:paraId="4CDFC52D"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28.5</w:t>
            </w:r>
          </w:p>
        </w:tc>
      </w:tr>
      <w:tr w:rsidR="00B47B7D" w:rsidRPr="000B6B22" w14:paraId="0DFBA4C0" w14:textId="77777777" w:rsidTr="008A4CE5">
        <w:trPr>
          <w:jc w:val="center"/>
        </w:trPr>
        <w:tc>
          <w:tcPr>
            <w:tcW w:w="906" w:type="dxa"/>
            <w:vMerge/>
            <w:shd w:val="clear" w:color="auto" w:fill="auto"/>
            <w:vAlign w:val="center"/>
          </w:tcPr>
          <w:p w14:paraId="6358456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C6C0AD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7E996D3" w14:textId="77777777" w:rsidR="00E145E1" w:rsidRPr="000B6B22" w:rsidRDefault="00E145E1" w:rsidP="009D4EFF">
            <w:pPr>
              <w:spacing w:before="0"/>
              <w:rPr>
                <w:rFonts w:ascii="Times New Roman" w:hAnsi="Times New Roman"/>
                <w:sz w:val="24"/>
              </w:rPr>
            </w:pPr>
            <w:r>
              <w:rPr>
                <w:rFonts w:ascii="Times New Roman" w:hAnsi="Times New Roman"/>
                <w:sz w:val="24"/>
              </w:rPr>
              <w:t># 28.5</w:t>
            </w:r>
          </w:p>
        </w:tc>
        <w:tc>
          <w:tcPr>
            <w:tcW w:w="2158" w:type="dxa"/>
            <w:vMerge w:val="restart"/>
            <w:shd w:val="clear" w:color="auto" w:fill="auto"/>
            <w:vAlign w:val="center"/>
          </w:tcPr>
          <w:p w14:paraId="074C14FE" w14:textId="77777777" w:rsidR="00E145E1" w:rsidRPr="000B6B22" w:rsidRDefault="00E145E1" w:rsidP="009D4EFF">
            <w:pPr>
              <w:spacing w:before="0"/>
              <w:rPr>
                <w:rFonts w:ascii="Times New Roman" w:hAnsi="Times New Roman"/>
                <w:sz w:val="24"/>
              </w:rPr>
            </w:pPr>
            <w:r>
              <w:rPr>
                <w:rFonts w:ascii="Times New Roman" w:hAnsi="Times New Roman"/>
                <w:sz w:val="24"/>
              </w:rPr>
              <w:t>Εξασφαλίσεις με υψηλής ποιότητας καλυμμένα ομόλογα επιπέδου 2Β</w:t>
            </w:r>
          </w:p>
        </w:tc>
        <w:tc>
          <w:tcPr>
            <w:tcW w:w="989" w:type="dxa"/>
            <w:shd w:val="clear" w:color="auto" w:fill="auto"/>
            <w:vAlign w:val="center"/>
          </w:tcPr>
          <w:p w14:paraId="0CCDFCD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Ναι</w:t>
            </w:r>
          </w:p>
        </w:tc>
        <w:tc>
          <w:tcPr>
            <w:tcW w:w="2150" w:type="dxa"/>
            <w:shd w:val="clear" w:color="auto" w:fill="auto"/>
            <w:vAlign w:val="center"/>
          </w:tcPr>
          <w:p w14:paraId="5568754D"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Γραμμή 285, ID 1.2.1.1.5 + </w:t>
            </w:r>
          </w:p>
          <w:p w14:paraId="2368FE97"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Γραμμή 287, ID 1.2.1.1.5.1</w:t>
            </w:r>
          </w:p>
        </w:tc>
      </w:tr>
      <w:tr w:rsidR="00B47B7D" w:rsidRPr="000B6B22" w14:paraId="2D36F5B1" w14:textId="77777777" w:rsidTr="008A4CE5">
        <w:trPr>
          <w:jc w:val="center"/>
        </w:trPr>
        <w:tc>
          <w:tcPr>
            <w:tcW w:w="906" w:type="dxa"/>
            <w:vMerge/>
            <w:shd w:val="clear" w:color="auto" w:fill="auto"/>
            <w:vAlign w:val="center"/>
          </w:tcPr>
          <w:p w14:paraId="09EC0E94"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FF7F96A"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7283372"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C4A716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EEC95B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Όχι</w:t>
            </w:r>
          </w:p>
        </w:tc>
        <w:tc>
          <w:tcPr>
            <w:tcW w:w="2150" w:type="dxa"/>
            <w:shd w:val="clear" w:color="auto" w:fill="auto"/>
            <w:vAlign w:val="center"/>
          </w:tcPr>
          <w:p w14:paraId="35378004"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28.6</w:t>
            </w:r>
          </w:p>
        </w:tc>
      </w:tr>
      <w:tr w:rsidR="00B47B7D" w:rsidRPr="000B6B22" w14:paraId="7090C81F" w14:textId="77777777" w:rsidTr="008A4CE5">
        <w:trPr>
          <w:jc w:val="center"/>
        </w:trPr>
        <w:tc>
          <w:tcPr>
            <w:tcW w:w="906" w:type="dxa"/>
            <w:vMerge/>
            <w:shd w:val="clear" w:color="auto" w:fill="auto"/>
            <w:vAlign w:val="center"/>
          </w:tcPr>
          <w:p w14:paraId="307C51C8"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C5A2E43"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1AAD9A8E" w14:textId="77777777" w:rsidR="00E145E1" w:rsidRPr="000B6B22" w:rsidRDefault="00E145E1" w:rsidP="009D4EFF">
            <w:pPr>
              <w:spacing w:before="0"/>
              <w:rPr>
                <w:rFonts w:ascii="Times New Roman" w:hAnsi="Times New Roman"/>
                <w:sz w:val="24"/>
              </w:rPr>
            </w:pPr>
            <w:r>
              <w:rPr>
                <w:rFonts w:ascii="Times New Roman" w:hAnsi="Times New Roman"/>
                <w:sz w:val="24"/>
              </w:rPr>
              <w:t># 28.6</w:t>
            </w:r>
          </w:p>
        </w:tc>
        <w:tc>
          <w:tcPr>
            <w:tcW w:w="2158" w:type="dxa"/>
            <w:vMerge w:val="restart"/>
            <w:shd w:val="clear" w:color="auto" w:fill="auto"/>
            <w:vAlign w:val="center"/>
          </w:tcPr>
          <w:p w14:paraId="110F07BD" w14:textId="77777777" w:rsidR="00E145E1" w:rsidRPr="000B6B22" w:rsidRDefault="00E145E1" w:rsidP="009D4EFF">
            <w:pPr>
              <w:spacing w:before="0"/>
              <w:rPr>
                <w:rFonts w:ascii="Times New Roman" w:hAnsi="Times New Roman"/>
                <w:sz w:val="24"/>
              </w:rPr>
            </w:pPr>
            <w:r>
              <w:rPr>
                <w:rFonts w:ascii="Times New Roman" w:hAnsi="Times New Roman"/>
                <w:sz w:val="24"/>
              </w:rPr>
              <w:t>Εξασφαλίσεις με επιπέδου 2B τίτλους από τιτλοποίηση (εμπορικά δάνεια ή δάνεια σε ιδιώτες)</w:t>
            </w:r>
          </w:p>
        </w:tc>
        <w:tc>
          <w:tcPr>
            <w:tcW w:w="989" w:type="dxa"/>
            <w:shd w:val="clear" w:color="auto" w:fill="auto"/>
            <w:vAlign w:val="center"/>
          </w:tcPr>
          <w:p w14:paraId="08A8A27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Ναι</w:t>
            </w:r>
          </w:p>
        </w:tc>
        <w:tc>
          <w:tcPr>
            <w:tcW w:w="2150" w:type="dxa"/>
            <w:shd w:val="clear" w:color="auto" w:fill="auto"/>
            <w:vAlign w:val="center"/>
          </w:tcPr>
          <w:p w14:paraId="486CBF8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Γραμμή 289, ID 1.2.1.1.6 + </w:t>
            </w:r>
          </w:p>
          <w:p w14:paraId="0EFBE51A"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Γραμμή 291, ID 1.2.1.1.6.1</w:t>
            </w:r>
          </w:p>
        </w:tc>
      </w:tr>
      <w:tr w:rsidR="00B47B7D" w:rsidRPr="000B6B22" w14:paraId="205F19EA" w14:textId="77777777" w:rsidTr="008A4CE5">
        <w:trPr>
          <w:jc w:val="center"/>
        </w:trPr>
        <w:tc>
          <w:tcPr>
            <w:tcW w:w="906" w:type="dxa"/>
            <w:vMerge/>
            <w:shd w:val="clear" w:color="auto" w:fill="auto"/>
            <w:vAlign w:val="center"/>
          </w:tcPr>
          <w:p w14:paraId="7D5A378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91065F3"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523C82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8C29F2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D60F90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Όχι</w:t>
            </w:r>
          </w:p>
        </w:tc>
        <w:tc>
          <w:tcPr>
            <w:tcW w:w="2150" w:type="dxa"/>
            <w:shd w:val="clear" w:color="auto" w:fill="auto"/>
            <w:vAlign w:val="center"/>
          </w:tcPr>
          <w:p w14:paraId="4C3E7B87"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Γραμμή 293, ID 1.2.1.1.7 + </w:t>
            </w:r>
          </w:p>
          <w:p w14:paraId="1415B8C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xml:space="preserve">Γραμμή 295, ID </w:t>
            </w:r>
            <w:r>
              <w:rPr>
                <w:rFonts w:ascii="Times New Roman" w:hAnsi="Times New Roman"/>
                <w:sz w:val="24"/>
              </w:rPr>
              <w:lastRenderedPageBreak/>
              <w:t>1.2.1.1.7.1</w:t>
            </w:r>
          </w:p>
        </w:tc>
      </w:tr>
      <w:tr w:rsidR="00B47B7D" w:rsidRPr="000B6B22" w14:paraId="4EDECB7A" w14:textId="77777777" w:rsidTr="008A4CE5">
        <w:trPr>
          <w:trHeight w:val="454"/>
          <w:jc w:val="center"/>
        </w:trPr>
        <w:tc>
          <w:tcPr>
            <w:tcW w:w="906" w:type="dxa"/>
            <w:vMerge w:val="restart"/>
            <w:shd w:val="clear" w:color="auto" w:fill="auto"/>
            <w:vAlign w:val="center"/>
          </w:tcPr>
          <w:p w14:paraId="7B71FB7F" w14:textId="77777777" w:rsidR="00E145E1" w:rsidRPr="000B6B22" w:rsidRDefault="00E145E1" w:rsidP="009D4EFF">
            <w:pPr>
              <w:spacing w:before="0"/>
              <w:rPr>
                <w:rFonts w:ascii="Times New Roman" w:hAnsi="Times New Roman"/>
                <w:sz w:val="24"/>
              </w:rPr>
            </w:pPr>
            <w:r>
              <w:rPr>
                <w:rFonts w:ascii="Times New Roman" w:hAnsi="Times New Roman"/>
                <w:sz w:val="24"/>
              </w:rPr>
              <w:lastRenderedPageBreak/>
              <w:t>29</w:t>
            </w:r>
          </w:p>
        </w:tc>
        <w:tc>
          <w:tcPr>
            <w:tcW w:w="2706" w:type="dxa"/>
            <w:vMerge w:val="restart"/>
            <w:shd w:val="clear" w:color="auto" w:fill="auto"/>
            <w:vAlign w:val="center"/>
          </w:tcPr>
          <w:p w14:paraId="5ECA4101" w14:textId="77777777" w:rsidR="00E145E1" w:rsidRPr="000B6B22" w:rsidRDefault="00E145E1" w:rsidP="009D4EFF">
            <w:pPr>
              <w:spacing w:before="0"/>
              <w:rPr>
                <w:rFonts w:ascii="Times New Roman" w:hAnsi="Times New Roman"/>
                <w:sz w:val="24"/>
              </w:rPr>
            </w:pPr>
            <w:r>
              <w:rPr>
                <w:rFonts w:ascii="Times New Roman" w:hAnsi="Times New Roman"/>
                <w:sz w:val="24"/>
              </w:rPr>
              <w:t>Πράξη εξασφαλισμένης χρηματοδότησης που εξασφαλίζεται με (άρθρο 32 παράγραφος 3 στοιχείο β)):</w:t>
            </w:r>
          </w:p>
        </w:tc>
        <w:tc>
          <w:tcPr>
            <w:tcW w:w="724" w:type="dxa"/>
            <w:vMerge w:val="restart"/>
            <w:shd w:val="clear" w:color="auto" w:fill="auto"/>
            <w:vAlign w:val="center"/>
          </w:tcPr>
          <w:p w14:paraId="102CA599" w14:textId="77777777" w:rsidR="00E145E1" w:rsidRPr="000B6B22" w:rsidRDefault="00E145E1" w:rsidP="009D4EFF">
            <w:pPr>
              <w:spacing w:before="0"/>
              <w:rPr>
                <w:rFonts w:ascii="Times New Roman" w:hAnsi="Times New Roman"/>
                <w:sz w:val="24"/>
              </w:rPr>
            </w:pPr>
            <w:r>
              <w:rPr>
                <w:rFonts w:ascii="Times New Roman" w:hAnsi="Times New Roman"/>
                <w:sz w:val="24"/>
              </w:rPr>
              <w:t># 29.1</w:t>
            </w:r>
          </w:p>
        </w:tc>
        <w:tc>
          <w:tcPr>
            <w:tcW w:w="2158" w:type="dxa"/>
            <w:vMerge w:val="restart"/>
            <w:shd w:val="clear" w:color="auto" w:fill="auto"/>
            <w:vAlign w:val="center"/>
          </w:tcPr>
          <w:p w14:paraId="1BD99715" w14:textId="77777777" w:rsidR="00E145E1" w:rsidRPr="000B6B22" w:rsidRDefault="00E145E1" w:rsidP="009D4EFF">
            <w:pPr>
              <w:spacing w:before="0"/>
              <w:rPr>
                <w:rFonts w:ascii="Times New Roman" w:hAnsi="Times New Roman"/>
                <w:sz w:val="24"/>
              </w:rPr>
            </w:pPr>
            <w:r>
              <w:rPr>
                <w:rFonts w:ascii="Times New Roman" w:hAnsi="Times New Roman"/>
                <w:sz w:val="24"/>
              </w:rPr>
              <w:t>Εξασφαλίσεις επιπέδου 1, εξαιρουμένων των εξαιρετικά υψηλής ποιότητας καλυμμένων ομολόγων</w:t>
            </w:r>
          </w:p>
        </w:tc>
        <w:tc>
          <w:tcPr>
            <w:tcW w:w="989" w:type="dxa"/>
            <w:shd w:val="clear" w:color="auto" w:fill="auto"/>
            <w:vAlign w:val="center"/>
          </w:tcPr>
          <w:p w14:paraId="0585B27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Ναι</w:t>
            </w:r>
          </w:p>
        </w:tc>
        <w:tc>
          <w:tcPr>
            <w:tcW w:w="2150" w:type="dxa"/>
            <w:shd w:val="clear" w:color="auto" w:fill="auto"/>
            <w:vAlign w:val="center"/>
          </w:tcPr>
          <w:p w14:paraId="751C045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Γραμμή 269, ID 1.2.1.1.1</w:t>
            </w:r>
          </w:p>
        </w:tc>
      </w:tr>
      <w:tr w:rsidR="00B47B7D" w:rsidRPr="000B6B22" w14:paraId="013DCBC3" w14:textId="77777777" w:rsidTr="008A4CE5">
        <w:trPr>
          <w:jc w:val="center"/>
        </w:trPr>
        <w:tc>
          <w:tcPr>
            <w:tcW w:w="906" w:type="dxa"/>
            <w:vMerge/>
            <w:shd w:val="clear" w:color="auto" w:fill="auto"/>
            <w:vAlign w:val="center"/>
          </w:tcPr>
          <w:p w14:paraId="5430F3BE"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503937E"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53E2FF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DC25BC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447238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Όχι</w:t>
            </w:r>
          </w:p>
        </w:tc>
        <w:tc>
          <w:tcPr>
            <w:tcW w:w="2150" w:type="dxa"/>
            <w:shd w:val="clear" w:color="auto" w:fill="auto"/>
            <w:vAlign w:val="center"/>
          </w:tcPr>
          <w:p w14:paraId="382BBEA7"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29.2</w:t>
            </w:r>
          </w:p>
        </w:tc>
      </w:tr>
      <w:tr w:rsidR="00B47B7D" w:rsidRPr="000B6B22" w14:paraId="6A6AC5FA" w14:textId="77777777" w:rsidTr="008A4CE5">
        <w:trPr>
          <w:trHeight w:val="454"/>
          <w:jc w:val="center"/>
        </w:trPr>
        <w:tc>
          <w:tcPr>
            <w:tcW w:w="906" w:type="dxa"/>
            <w:vMerge/>
            <w:shd w:val="clear" w:color="auto" w:fill="auto"/>
            <w:vAlign w:val="center"/>
          </w:tcPr>
          <w:p w14:paraId="3ABEA91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F68D7F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4327F37" w14:textId="77777777" w:rsidR="00E145E1" w:rsidRPr="000B6B22" w:rsidRDefault="00E145E1" w:rsidP="009D4EFF">
            <w:pPr>
              <w:spacing w:before="0"/>
              <w:rPr>
                <w:rFonts w:ascii="Times New Roman" w:hAnsi="Times New Roman"/>
                <w:sz w:val="24"/>
              </w:rPr>
            </w:pPr>
            <w:r>
              <w:rPr>
                <w:rFonts w:ascii="Times New Roman" w:hAnsi="Times New Roman"/>
                <w:sz w:val="24"/>
              </w:rPr>
              <w:t># 29.2</w:t>
            </w:r>
          </w:p>
        </w:tc>
        <w:tc>
          <w:tcPr>
            <w:tcW w:w="2158" w:type="dxa"/>
            <w:vMerge w:val="restart"/>
            <w:shd w:val="clear" w:color="auto" w:fill="auto"/>
            <w:vAlign w:val="center"/>
          </w:tcPr>
          <w:p w14:paraId="10474251" w14:textId="77777777" w:rsidR="00E145E1" w:rsidRPr="000B6B22" w:rsidRDefault="00E145E1" w:rsidP="009D4EFF">
            <w:pPr>
              <w:spacing w:before="0"/>
              <w:rPr>
                <w:rFonts w:ascii="Times New Roman" w:hAnsi="Times New Roman"/>
                <w:sz w:val="24"/>
              </w:rPr>
            </w:pPr>
            <w:r>
              <w:rPr>
                <w:rFonts w:ascii="Times New Roman" w:hAnsi="Times New Roman"/>
                <w:sz w:val="24"/>
              </w:rPr>
              <w:t>Εξασφαλίσεις με εξαιρετικά υψηλής ποιότητας καλυμμένα ομόλογα επιπέδου 1</w:t>
            </w:r>
          </w:p>
        </w:tc>
        <w:tc>
          <w:tcPr>
            <w:tcW w:w="989" w:type="dxa"/>
            <w:shd w:val="clear" w:color="auto" w:fill="auto"/>
            <w:vAlign w:val="center"/>
          </w:tcPr>
          <w:p w14:paraId="18C7CF0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Ναι</w:t>
            </w:r>
          </w:p>
        </w:tc>
        <w:tc>
          <w:tcPr>
            <w:tcW w:w="2150" w:type="dxa"/>
            <w:shd w:val="clear" w:color="auto" w:fill="auto"/>
            <w:vAlign w:val="center"/>
          </w:tcPr>
          <w:p w14:paraId="445E22D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Γραμμή 273, ID 1.2.1.1.2</w:t>
            </w:r>
          </w:p>
        </w:tc>
      </w:tr>
      <w:tr w:rsidR="00B47B7D" w:rsidRPr="000B6B22" w14:paraId="016E8596" w14:textId="77777777" w:rsidTr="008A4CE5">
        <w:trPr>
          <w:trHeight w:val="340"/>
          <w:jc w:val="center"/>
        </w:trPr>
        <w:tc>
          <w:tcPr>
            <w:tcW w:w="906" w:type="dxa"/>
            <w:vMerge/>
            <w:shd w:val="clear" w:color="auto" w:fill="auto"/>
            <w:vAlign w:val="center"/>
          </w:tcPr>
          <w:p w14:paraId="1D39F30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32DC410"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1DC7763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80E5AF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9C3B647"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Όχι</w:t>
            </w:r>
          </w:p>
        </w:tc>
        <w:tc>
          <w:tcPr>
            <w:tcW w:w="2150" w:type="dxa"/>
            <w:shd w:val="clear" w:color="auto" w:fill="auto"/>
            <w:vAlign w:val="center"/>
          </w:tcPr>
          <w:p w14:paraId="54349CC1"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29.3</w:t>
            </w:r>
          </w:p>
        </w:tc>
      </w:tr>
      <w:tr w:rsidR="00B47B7D" w:rsidRPr="000B6B22" w14:paraId="1DC92470" w14:textId="77777777" w:rsidTr="008A4CE5">
        <w:trPr>
          <w:jc w:val="center"/>
        </w:trPr>
        <w:tc>
          <w:tcPr>
            <w:tcW w:w="906" w:type="dxa"/>
            <w:vMerge/>
            <w:shd w:val="clear" w:color="auto" w:fill="auto"/>
            <w:vAlign w:val="center"/>
          </w:tcPr>
          <w:p w14:paraId="08078D6F"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4C988CF"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29235FE" w14:textId="77777777" w:rsidR="00E145E1" w:rsidRPr="000B6B22" w:rsidRDefault="00E145E1" w:rsidP="009D4EFF">
            <w:pPr>
              <w:spacing w:before="0"/>
              <w:rPr>
                <w:rFonts w:ascii="Times New Roman" w:hAnsi="Times New Roman"/>
                <w:sz w:val="24"/>
              </w:rPr>
            </w:pPr>
            <w:r>
              <w:rPr>
                <w:rFonts w:ascii="Times New Roman" w:hAnsi="Times New Roman"/>
                <w:sz w:val="24"/>
              </w:rPr>
              <w:t># 29.3</w:t>
            </w:r>
          </w:p>
        </w:tc>
        <w:tc>
          <w:tcPr>
            <w:tcW w:w="2158" w:type="dxa"/>
            <w:vMerge w:val="restart"/>
            <w:shd w:val="clear" w:color="auto" w:fill="auto"/>
            <w:vAlign w:val="center"/>
          </w:tcPr>
          <w:p w14:paraId="1E2E29BB" w14:textId="77777777" w:rsidR="00E145E1" w:rsidRPr="000B6B22" w:rsidRDefault="00E145E1" w:rsidP="009D4EFF">
            <w:pPr>
              <w:spacing w:before="0"/>
              <w:rPr>
                <w:rFonts w:ascii="Times New Roman" w:hAnsi="Times New Roman"/>
                <w:sz w:val="24"/>
              </w:rPr>
            </w:pPr>
            <w:r>
              <w:rPr>
                <w:rFonts w:ascii="Times New Roman" w:hAnsi="Times New Roman"/>
                <w:sz w:val="24"/>
              </w:rPr>
              <w:t>Εξασφαλίσεις επιπέδου 2Α</w:t>
            </w:r>
          </w:p>
        </w:tc>
        <w:tc>
          <w:tcPr>
            <w:tcW w:w="989" w:type="dxa"/>
            <w:shd w:val="clear" w:color="auto" w:fill="auto"/>
            <w:vAlign w:val="center"/>
          </w:tcPr>
          <w:p w14:paraId="6C039BA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Ναι</w:t>
            </w:r>
          </w:p>
        </w:tc>
        <w:tc>
          <w:tcPr>
            <w:tcW w:w="2150" w:type="dxa"/>
            <w:shd w:val="clear" w:color="auto" w:fill="auto"/>
            <w:vAlign w:val="center"/>
          </w:tcPr>
          <w:p w14:paraId="6176989A"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Γραμμή 277, ID 1.2.1.1.3</w:t>
            </w:r>
          </w:p>
        </w:tc>
      </w:tr>
      <w:tr w:rsidR="00B47B7D" w:rsidRPr="000B6B22" w14:paraId="2C7F2548" w14:textId="77777777" w:rsidTr="008A4CE5">
        <w:trPr>
          <w:jc w:val="center"/>
        </w:trPr>
        <w:tc>
          <w:tcPr>
            <w:tcW w:w="906" w:type="dxa"/>
            <w:vMerge/>
            <w:shd w:val="clear" w:color="auto" w:fill="auto"/>
            <w:vAlign w:val="center"/>
          </w:tcPr>
          <w:p w14:paraId="4887A40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6AC2AA9"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5ED5CE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E10E227"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8C0D7C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Όχι</w:t>
            </w:r>
          </w:p>
        </w:tc>
        <w:tc>
          <w:tcPr>
            <w:tcW w:w="2150" w:type="dxa"/>
            <w:shd w:val="clear" w:color="auto" w:fill="auto"/>
            <w:vAlign w:val="center"/>
          </w:tcPr>
          <w:p w14:paraId="29228619"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29.4</w:t>
            </w:r>
          </w:p>
        </w:tc>
      </w:tr>
      <w:tr w:rsidR="00B47B7D" w:rsidRPr="000B6B22" w14:paraId="62C86829" w14:textId="77777777" w:rsidTr="008A4CE5">
        <w:trPr>
          <w:trHeight w:val="454"/>
          <w:jc w:val="center"/>
        </w:trPr>
        <w:tc>
          <w:tcPr>
            <w:tcW w:w="906" w:type="dxa"/>
            <w:vMerge/>
            <w:shd w:val="clear" w:color="auto" w:fill="auto"/>
            <w:vAlign w:val="center"/>
          </w:tcPr>
          <w:p w14:paraId="24C5F77A"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9B3BF43"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5FBD532A" w14:textId="77777777" w:rsidR="00E145E1" w:rsidRPr="000B6B22" w:rsidRDefault="00E145E1" w:rsidP="009D4EFF">
            <w:pPr>
              <w:spacing w:before="0"/>
              <w:rPr>
                <w:rFonts w:ascii="Times New Roman" w:hAnsi="Times New Roman"/>
                <w:sz w:val="24"/>
              </w:rPr>
            </w:pPr>
            <w:r>
              <w:rPr>
                <w:rFonts w:ascii="Times New Roman" w:hAnsi="Times New Roman"/>
                <w:sz w:val="24"/>
              </w:rPr>
              <w:t># 29.4</w:t>
            </w:r>
          </w:p>
        </w:tc>
        <w:tc>
          <w:tcPr>
            <w:tcW w:w="2158" w:type="dxa"/>
            <w:vMerge w:val="restart"/>
            <w:shd w:val="clear" w:color="auto" w:fill="auto"/>
            <w:vAlign w:val="center"/>
          </w:tcPr>
          <w:p w14:paraId="7D2C6CB0" w14:textId="77777777" w:rsidR="00E145E1" w:rsidRPr="000B6B22" w:rsidRDefault="00E145E1" w:rsidP="009D4EFF">
            <w:pPr>
              <w:spacing w:before="0"/>
              <w:rPr>
                <w:rFonts w:ascii="Times New Roman" w:hAnsi="Times New Roman"/>
                <w:sz w:val="24"/>
              </w:rPr>
            </w:pPr>
            <w:r>
              <w:rPr>
                <w:rFonts w:ascii="Times New Roman" w:hAnsi="Times New Roman"/>
                <w:sz w:val="24"/>
              </w:rPr>
              <w:t>Εξασφαλίσεις με επιπέδου 2B τίτλους από τιτλοποίηση (στεγαστικά δάνεια ή δάνεια για την αγορά αυτοκινήτου)</w:t>
            </w:r>
          </w:p>
        </w:tc>
        <w:tc>
          <w:tcPr>
            <w:tcW w:w="989" w:type="dxa"/>
            <w:shd w:val="clear" w:color="auto" w:fill="auto"/>
            <w:vAlign w:val="center"/>
          </w:tcPr>
          <w:p w14:paraId="2C52948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Ναι</w:t>
            </w:r>
          </w:p>
        </w:tc>
        <w:tc>
          <w:tcPr>
            <w:tcW w:w="2150" w:type="dxa"/>
            <w:shd w:val="clear" w:color="auto" w:fill="auto"/>
            <w:vAlign w:val="center"/>
          </w:tcPr>
          <w:p w14:paraId="7717B00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Γραμμή 281, ID 1.2.1.1.4</w:t>
            </w:r>
          </w:p>
        </w:tc>
      </w:tr>
      <w:tr w:rsidR="00B47B7D" w:rsidRPr="000B6B22" w14:paraId="05F1D7DC" w14:textId="77777777" w:rsidTr="008A4CE5">
        <w:trPr>
          <w:jc w:val="center"/>
        </w:trPr>
        <w:tc>
          <w:tcPr>
            <w:tcW w:w="906" w:type="dxa"/>
            <w:vMerge/>
            <w:shd w:val="clear" w:color="auto" w:fill="auto"/>
            <w:vAlign w:val="center"/>
          </w:tcPr>
          <w:p w14:paraId="3D50DD8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24EC4A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02DB214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B973AE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3BBF25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Όχι</w:t>
            </w:r>
          </w:p>
        </w:tc>
        <w:tc>
          <w:tcPr>
            <w:tcW w:w="2150" w:type="dxa"/>
            <w:shd w:val="clear" w:color="auto" w:fill="auto"/>
            <w:vAlign w:val="center"/>
          </w:tcPr>
          <w:p w14:paraId="3C4D8B9D"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29.5</w:t>
            </w:r>
          </w:p>
        </w:tc>
      </w:tr>
      <w:tr w:rsidR="00B47B7D" w:rsidRPr="000B6B22" w14:paraId="6B5343E1" w14:textId="77777777" w:rsidTr="008A4CE5">
        <w:trPr>
          <w:trHeight w:val="340"/>
          <w:jc w:val="center"/>
        </w:trPr>
        <w:tc>
          <w:tcPr>
            <w:tcW w:w="906" w:type="dxa"/>
            <w:vMerge/>
            <w:shd w:val="clear" w:color="auto" w:fill="auto"/>
            <w:vAlign w:val="center"/>
          </w:tcPr>
          <w:p w14:paraId="29F2D3E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3B77172"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0F881548" w14:textId="77777777" w:rsidR="00E145E1" w:rsidRPr="000B6B22" w:rsidRDefault="00E145E1" w:rsidP="009D4EFF">
            <w:pPr>
              <w:spacing w:before="0"/>
              <w:rPr>
                <w:rFonts w:ascii="Times New Roman" w:hAnsi="Times New Roman"/>
                <w:sz w:val="24"/>
              </w:rPr>
            </w:pPr>
            <w:r>
              <w:rPr>
                <w:rFonts w:ascii="Times New Roman" w:hAnsi="Times New Roman"/>
                <w:sz w:val="24"/>
              </w:rPr>
              <w:t># 29.5</w:t>
            </w:r>
          </w:p>
        </w:tc>
        <w:tc>
          <w:tcPr>
            <w:tcW w:w="2158" w:type="dxa"/>
            <w:vMerge w:val="restart"/>
            <w:shd w:val="clear" w:color="auto" w:fill="auto"/>
            <w:vAlign w:val="center"/>
          </w:tcPr>
          <w:p w14:paraId="72A53016" w14:textId="77777777" w:rsidR="00E145E1" w:rsidRPr="000B6B22" w:rsidRDefault="00E145E1" w:rsidP="009D4EFF">
            <w:pPr>
              <w:spacing w:before="0"/>
              <w:rPr>
                <w:rFonts w:ascii="Times New Roman" w:hAnsi="Times New Roman"/>
                <w:sz w:val="24"/>
              </w:rPr>
            </w:pPr>
            <w:r>
              <w:rPr>
                <w:rFonts w:ascii="Times New Roman" w:hAnsi="Times New Roman"/>
                <w:sz w:val="24"/>
              </w:rPr>
              <w:t>Εξασφαλίσεις με υψηλής ποιότητας καλυμμένα ομόλογα επιπέδου 2Β</w:t>
            </w:r>
          </w:p>
        </w:tc>
        <w:tc>
          <w:tcPr>
            <w:tcW w:w="989" w:type="dxa"/>
            <w:shd w:val="clear" w:color="auto" w:fill="auto"/>
            <w:vAlign w:val="center"/>
          </w:tcPr>
          <w:p w14:paraId="4632C06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Ναι</w:t>
            </w:r>
          </w:p>
        </w:tc>
        <w:tc>
          <w:tcPr>
            <w:tcW w:w="2150" w:type="dxa"/>
            <w:shd w:val="clear" w:color="auto" w:fill="auto"/>
            <w:vAlign w:val="center"/>
          </w:tcPr>
          <w:p w14:paraId="240B94A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Γραμμή 285, ID 1.2.1.1.5</w:t>
            </w:r>
          </w:p>
        </w:tc>
      </w:tr>
      <w:tr w:rsidR="00B47B7D" w:rsidRPr="000B6B22" w14:paraId="31C0AF40" w14:textId="77777777" w:rsidTr="008A4CE5">
        <w:trPr>
          <w:jc w:val="center"/>
        </w:trPr>
        <w:tc>
          <w:tcPr>
            <w:tcW w:w="906" w:type="dxa"/>
            <w:vMerge/>
            <w:shd w:val="clear" w:color="auto" w:fill="auto"/>
            <w:vAlign w:val="center"/>
          </w:tcPr>
          <w:p w14:paraId="745FEDD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F337E76"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1587415F"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0E39E7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742597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Όχι</w:t>
            </w:r>
          </w:p>
        </w:tc>
        <w:tc>
          <w:tcPr>
            <w:tcW w:w="2150" w:type="dxa"/>
            <w:shd w:val="clear" w:color="auto" w:fill="auto"/>
            <w:vAlign w:val="center"/>
          </w:tcPr>
          <w:p w14:paraId="076E690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29.6</w:t>
            </w:r>
          </w:p>
        </w:tc>
      </w:tr>
      <w:tr w:rsidR="00B47B7D" w:rsidRPr="000B6B22" w14:paraId="30AE54ED" w14:textId="77777777" w:rsidTr="00454544">
        <w:trPr>
          <w:trHeight w:val="397"/>
          <w:jc w:val="center"/>
        </w:trPr>
        <w:tc>
          <w:tcPr>
            <w:tcW w:w="906" w:type="dxa"/>
            <w:vMerge/>
            <w:shd w:val="clear" w:color="auto" w:fill="auto"/>
            <w:vAlign w:val="center"/>
          </w:tcPr>
          <w:p w14:paraId="48100570"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9AD75B3"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7E892FF6" w14:textId="77777777" w:rsidR="00E145E1" w:rsidRPr="000B6B22" w:rsidRDefault="00E145E1" w:rsidP="009D4EFF">
            <w:pPr>
              <w:spacing w:before="0"/>
              <w:rPr>
                <w:rFonts w:ascii="Times New Roman" w:hAnsi="Times New Roman"/>
                <w:sz w:val="24"/>
              </w:rPr>
            </w:pPr>
            <w:r>
              <w:rPr>
                <w:rFonts w:ascii="Times New Roman" w:hAnsi="Times New Roman"/>
                <w:sz w:val="24"/>
              </w:rPr>
              <w:t># 29.6</w:t>
            </w:r>
          </w:p>
        </w:tc>
        <w:tc>
          <w:tcPr>
            <w:tcW w:w="2158" w:type="dxa"/>
            <w:vMerge w:val="restart"/>
            <w:shd w:val="clear" w:color="auto" w:fill="auto"/>
            <w:vAlign w:val="center"/>
          </w:tcPr>
          <w:p w14:paraId="7001EBB2" w14:textId="77777777" w:rsidR="00E145E1" w:rsidRPr="000B6B22" w:rsidRDefault="00E145E1" w:rsidP="009D4EFF">
            <w:pPr>
              <w:spacing w:before="0"/>
              <w:rPr>
                <w:rFonts w:ascii="Times New Roman" w:hAnsi="Times New Roman"/>
                <w:sz w:val="24"/>
              </w:rPr>
            </w:pPr>
            <w:r>
              <w:rPr>
                <w:rFonts w:ascii="Times New Roman" w:hAnsi="Times New Roman"/>
                <w:sz w:val="24"/>
              </w:rPr>
              <w:t>Εξασφαλίσεις με επιπέδου 2B τίτλους από τιτλοποίηση (εμπορικά δάνεια ή δάνεια σε ιδιώτες)</w:t>
            </w:r>
          </w:p>
        </w:tc>
        <w:tc>
          <w:tcPr>
            <w:tcW w:w="989" w:type="dxa"/>
            <w:shd w:val="clear" w:color="auto" w:fill="auto"/>
            <w:vAlign w:val="center"/>
          </w:tcPr>
          <w:p w14:paraId="14BC0B4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Ναι</w:t>
            </w:r>
          </w:p>
        </w:tc>
        <w:tc>
          <w:tcPr>
            <w:tcW w:w="2150" w:type="dxa"/>
            <w:shd w:val="clear" w:color="auto" w:fill="auto"/>
            <w:vAlign w:val="center"/>
          </w:tcPr>
          <w:p w14:paraId="0D09166F"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Γραμμή 289, ID 1.2.1.1.6</w:t>
            </w:r>
          </w:p>
        </w:tc>
      </w:tr>
      <w:tr w:rsidR="00B47B7D" w:rsidRPr="000B6B22" w14:paraId="458751F0" w14:textId="77777777" w:rsidTr="008A4CE5">
        <w:trPr>
          <w:jc w:val="center"/>
        </w:trPr>
        <w:tc>
          <w:tcPr>
            <w:tcW w:w="906" w:type="dxa"/>
            <w:vMerge/>
            <w:shd w:val="clear" w:color="auto" w:fill="auto"/>
            <w:vAlign w:val="center"/>
          </w:tcPr>
          <w:p w14:paraId="2AFCCF3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FA5E631"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A7CB9A5"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7DEAD29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49E016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Όχι</w:t>
            </w:r>
          </w:p>
        </w:tc>
        <w:tc>
          <w:tcPr>
            <w:tcW w:w="2150" w:type="dxa"/>
            <w:shd w:val="clear" w:color="auto" w:fill="auto"/>
            <w:vAlign w:val="center"/>
          </w:tcPr>
          <w:p w14:paraId="2CA809A9"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Γραμμή 293, ID 1.2.1.1.7</w:t>
            </w:r>
          </w:p>
        </w:tc>
      </w:tr>
      <w:tr w:rsidR="00B47B7D" w:rsidRPr="000B6B22" w14:paraId="09A368FA" w14:textId="77777777" w:rsidTr="008A4CE5">
        <w:trPr>
          <w:trHeight w:val="454"/>
          <w:jc w:val="center"/>
        </w:trPr>
        <w:tc>
          <w:tcPr>
            <w:tcW w:w="906" w:type="dxa"/>
            <w:vMerge w:val="restart"/>
            <w:shd w:val="clear" w:color="auto" w:fill="auto"/>
            <w:vAlign w:val="center"/>
          </w:tcPr>
          <w:p w14:paraId="735F5135" w14:textId="77777777" w:rsidR="00E145E1" w:rsidRPr="000B6B22" w:rsidRDefault="00E145E1" w:rsidP="009D4EFF">
            <w:pPr>
              <w:spacing w:before="0"/>
              <w:rPr>
                <w:rFonts w:ascii="Times New Roman" w:hAnsi="Times New Roman"/>
                <w:sz w:val="24"/>
              </w:rPr>
            </w:pPr>
            <w:r>
              <w:rPr>
                <w:rFonts w:ascii="Times New Roman" w:hAnsi="Times New Roman"/>
                <w:sz w:val="24"/>
              </w:rPr>
              <w:t>30</w:t>
            </w:r>
          </w:p>
        </w:tc>
        <w:tc>
          <w:tcPr>
            <w:tcW w:w="5588" w:type="dxa"/>
            <w:gridSpan w:val="3"/>
            <w:vMerge w:val="restart"/>
            <w:shd w:val="clear" w:color="auto" w:fill="auto"/>
            <w:vAlign w:val="center"/>
          </w:tcPr>
          <w:p w14:paraId="7AB8CDAD" w14:textId="42BE2387" w:rsidR="00E145E1" w:rsidRPr="000B6B22" w:rsidRDefault="00E145E1" w:rsidP="009D4EFF">
            <w:pPr>
              <w:spacing w:before="0"/>
              <w:rPr>
                <w:rFonts w:ascii="Times New Roman" w:hAnsi="Times New Roman"/>
                <w:sz w:val="24"/>
              </w:rPr>
            </w:pPr>
            <w:r>
              <w:rPr>
                <w:rFonts w:ascii="Times New Roman" w:hAnsi="Times New Roman"/>
                <w:sz w:val="24"/>
              </w:rPr>
              <w:t>Εξασφαλίσεις που δεν χαρακτηρίζονται ως ρευστά στοιχεία ενεργητικού (άρθρο 32 παράγραφος 3 στοιχείο β)) και είναι μη ρευστά ίδια κεφάλαια</w:t>
            </w:r>
          </w:p>
        </w:tc>
        <w:tc>
          <w:tcPr>
            <w:tcW w:w="989" w:type="dxa"/>
            <w:shd w:val="clear" w:color="auto" w:fill="auto"/>
            <w:vAlign w:val="center"/>
          </w:tcPr>
          <w:p w14:paraId="230989F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Ναι</w:t>
            </w:r>
          </w:p>
        </w:tc>
        <w:tc>
          <w:tcPr>
            <w:tcW w:w="2150" w:type="dxa"/>
            <w:shd w:val="clear" w:color="auto" w:fill="auto"/>
            <w:vAlign w:val="center"/>
          </w:tcPr>
          <w:p w14:paraId="76DFFABF" w14:textId="19D3F299" w:rsidR="00E145E1" w:rsidRPr="000B6B22" w:rsidRDefault="00E145E1" w:rsidP="009D4EFF">
            <w:pPr>
              <w:widowControl w:val="0"/>
              <w:spacing w:before="0"/>
              <w:rPr>
                <w:rFonts w:ascii="Times New Roman" w:hAnsi="Times New Roman"/>
                <w:sz w:val="24"/>
              </w:rPr>
            </w:pPr>
            <w:r>
              <w:rPr>
                <w:rFonts w:ascii="Times New Roman" w:hAnsi="Times New Roman"/>
                <w:sz w:val="24"/>
              </w:rPr>
              <w:t>Γραμμή 301, ID 1.2.1.3.1</w:t>
            </w:r>
          </w:p>
        </w:tc>
      </w:tr>
      <w:tr w:rsidR="00B47B7D" w:rsidRPr="000B6B22" w14:paraId="56C8F38E" w14:textId="77777777" w:rsidTr="008A4CE5">
        <w:trPr>
          <w:trHeight w:val="397"/>
          <w:jc w:val="center"/>
        </w:trPr>
        <w:tc>
          <w:tcPr>
            <w:tcW w:w="906" w:type="dxa"/>
            <w:vMerge/>
            <w:shd w:val="clear" w:color="auto" w:fill="auto"/>
            <w:vAlign w:val="center"/>
          </w:tcPr>
          <w:p w14:paraId="5CFEEE66"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B0CA60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F49643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Όχι</w:t>
            </w:r>
          </w:p>
        </w:tc>
        <w:tc>
          <w:tcPr>
            <w:tcW w:w="2150" w:type="dxa"/>
            <w:shd w:val="clear" w:color="auto" w:fill="auto"/>
            <w:vAlign w:val="center"/>
          </w:tcPr>
          <w:p w14:paraId="6D970C8A" w14:textId="10BA2776" w:rsidR="00E145E1" w:rsidRPr="000B6B22" w:rsidRDefault="00E145E1" w:rsidP="009D4EFF">
            <w:pPr>
              <w:widowControl w:val="0"/>
              <w:spacing w:before="0"/>
              <w:rPr>
                <w:rFonts w:ascii="Times New Roman" w:hAnsi="Times New Roman"/>
                <w:sz w:val="24"/>
              </w:rPr>
            </w:pPr>
            <w:r>
              <w:rPr>
                <w:rFonts w:ascii="Times New Roman" w:hAnsi="Times New Roman"/>
                <w:sz w:val="24"/>
              </w:rPr>
              <w:t>Γραμμή 303, ID 1.2.1.3.2</w:t>
            </w:r>
          </w:p>
        </w:tc>
      </w:tr>
      <w:tr w:rsidR="00B47B7D" w:rsidRPr="000B6B22" w14:paraId="1F43E637" w14:textId="77777777" w:rsidTr="008A4CE5">
        <w:trPr>
          <w:trHeight w:val="454"/>
          <w:jc w:val="center"/>
        </w:trPr>
        <w:tc>
          <w:tcPr>
            <w:tcW w:w="906" w:type="dxa"/>
            <w:vMerge w:val="restart"/>
            <w:shd w:val="clear" w:color="auto" w:fill="auto"/>
            <w:vAlign w:val="center"/>
          </w:tcPr>
          <w:p w14:paraId="76347E4D" w14:textId="77777777" w:rsidR="00E145E1" w:rsidRPr="000B6B22" w:rsidRDefault="00E145E1" w:rsidP="009D4EFF">
            <w:pPr>
              <w:spacing w:before="0"/>
              <w:rPr>
                <w:rFonts w:ascii="Times New Roman" w:hAnsi="Times New Roman"/>
                <w:sz w:val="24"/>
              </w:rPr>
            </w:pPr>
            <w:r>
              <w:rPr>
                <w:rFonts w:ascii="Times New Roman" w:hAnsi="Times New Roman"/>
                <w:sz w:val="24"/>
              </w:rPr>
              <w:t>31</w:t>
            </w:r>
          </w:p>
        </w:tc>
        <w:tc>
          <w:tcPr>
            <w:tcW w:w="5588" w:type="dxa"/>
            <w:gridSpan w:val="3"/>
            <w:vMerge w:val="restart"/>
            <w:shd w:val="clear" w:color="auto" w:fill="auto"/>
            <w:vAlign w:val="center"/>
          </w:tcPr>
          <w:p w14:paraId="56DE4981" w14:textId="77777777" w:rsidR="00E145E1" w:rsidRPr="000B6B22" w:rsidRDefault="00E145E1" w:rsidP="009D4EFF">
            <w:pPr>
              <w:spacing w:before="0"/>
              <w:rPr>
                <w:rFonts w:ascii="Times New Roman" w:hAnsi="Times New Roman"/>
                <w:sz w:val="24"/>
              </w:rPr>
            </w:pPr>
            <w:r>
              <w:rPr>
                <w:rFonts w:ascii="Times New Roman" w:hAnsi="Times New Roman"/>
                <w:sz w:val="24"/>
              </w:rPr>
              <w:t>Οι εξασφαλίσεις είναι γενικά επιλέξιμες ως ρευστά στοιχεία ενεργητικού (ανεξάρτητα από το αν χρησιμοποιούνται εκ νέου σε άλλη συναλλαγή και ανεξάρτητα από το αν το στοιχείο ενεργητικού πληροί τη λειτουργική απαίτηση του άρθρου 8)</w:t>
            </w:r>
          </w:p>
        </w:tc>
        <w:tc>
          <w:tcPr>
            <w:tcW w:w="989" w:type="dxa"/>
            <w:shd w:val="clear" w:color="auto" w:fill="auto"/>
            <w:vAlign w:val="center"/>
          </w:tcPr>
          <w:p w14:paraId="28B6CBA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Ναι</w:t>
            </w:r>
          </w:p>
        </w:tc>
        <w:tc>
          <w:tcPr>
            <w:tcW w:w="2150" w:type="dxa"/>
            <w:shd w:val="clear" w:color="auto" w:fill="auto"/>
            <w:vAlign w:val="center"/>
          </w:tcPr>
          <w:p w14:paraId="07B0A8A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32</w:t>
            </w:r>
          </w:p>
        </w:tc>
      </w:tr>
      <w:tr w:rsidR="00B47B7D" w:rsidRPr="000B6B22" w14:paraId="13F99E91" w14:textId="77777777" w:rsidTr="008A4CE5">
        <w:trPr>
          <w:jc w:val="center"/>
        </w:trPr>
        <w:tc>
          <w:tcPr>
            <w:tcW w:w="906" w:type="dxa"/>
            <w:vMerge/>
            <w:shd w:val="clear" w:color="auto" w:fill="auto"/>
            <w:vAlign w:val="center"/>
          </w:tcPr>
          <w:p w14:paraId="0AE39F01"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957A6B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2A424B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Όχι</w:t>
            </w:r>
          </w:p>
        </w:tc>
        <w:tc>
          <w:tcPr>
            <w:tcW w:w="2150" w:type="dxa"/>
            <w:shd w:val="clear" w:color="auto" w:fill="auto"/>
            <w:vAlign w:val="center"/>
          </w:tcPr>
          <w:p w14:paraId="3E21064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36</w:t>
            </w:r>
          </w:p>
        </w:tc>
      </w:tr>
      <w:tr w:rsidR="00B47B7D" w:rsidRPr="000B6B22" w14:paraId="2A222CD3" w14:textId="77777777" w:rsidTr="008A4CE5">
        <w:trPr>
          <w:jc w:val="center"/>
        </w:trPr>
        <w:tc>
          <w:tcPr>
            <w:tcW w:w="906" w:type="dxa"/>
            <w:vMerge w:val="restart"/>
            <w:shd w:val="clear" w:color="auto" w:fill="auto"/>
            <w:vAlign w:val="center"/>
          </w:tcPr>
          <w:p w14:paraId="6A44E7EE" w14:textId="77777777" w:rsidR="00E145E1" w:rsidRPr="000B6B22" w:rsidRDefault="00E145E1" w:rsidP="009D4EFF">
            <w:pPr>
              <w:spacing w:before="0"/>
              <w:rPr>
                <w:rFonts w:ascii="Times New Roman" w:hAnsi="Times New Roman"/>
                <w:sz w:val="24"/>
              </w:rPr>
            </w:pPr>
            <w:r>
              <w:rPr>
                <w:rFonts w:ascii="Times New Roman" w:hAnsi="Times New Roman"/>
                <w:sz w:val="24"/>
              </w:rPr>
              <w:t>32</w:t>
            </w:r>
          </w:p>
        </w:tc>
        <w:tc>
          <w:tcPr>
            <w:tcW w:w="5588" w:type="dxa"/>
            <w:gridSpan w:val="3"/>
            <w:vMerge w:val="restart"/>
            <w:shd w:val="clear" w:color="auto" w:fill="auto"/>
            <w:vAlign w:val="center"/>
          </w:tcPr>
          <w:p w14:paraId="70828BB2" w14:textId="77777777" w:rsidR="00E145E1" w:rsidRPr="000B6B22" w:rsidRDefault="00E145E1" w:rsidP="009D4EFF">
            <w:pPr>
              <w:spacing w:before="0"/>
              <w:rPr>
                <w:rFonts w:ascii="Times New Roman" w:hAnsi="Times New Roman"/>
                <w:sz w:val="24"/>
              </w:rPr>
            </w:pPr>
            <w:r>
              <w:rPr>
                <w:rFonts w:ascii="Times New Roman" w:hAnsi="Times New Roman"/>
                <w:sz w:val="24"/>
              </w:rPr>
              <w:t>Η εξασφάλιση χρησιμοποιείται για την κάλυψη αρνητικών θέσεων</w:t>
            </w:r>
          </w:p>
        </w:tc>
        <w:tc>
          <w:tcPr>
            <w:tcW w:w="989" w:type="dxa"/>
            <w:shd w:val="clear" w:color="auto" w:fill="auto"/>
            <w:vAlign w:val="center"/>
          </w:tcPr>
          <w:p w14:paraId="5B361DA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Ναι</w:t>
            </w:r>
          </w:p>
        </w:tc>
        <w:tc>
          <w:tcPr>
            <w:tcW w:w="2150" w:type="dxa"/>
            <w:shd w:val="clear" w:color="auto" w:fill="auto"/>
            <w:vAlign w:val="center"/>
          </w:tcPr>
          <w:p w14:paraId="461B8DF8" w14:textId="50888566"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Γραμμή 337, ID 1.2.2.2</w:t>
            </w:r>
          </w:p>
        </w:tc>
      </w:tr>
      <w:tr w:rsidR="00B47B7D" w:rsidRPr="000B6B22" w14:paraId="2BEA852A" w14:textId="77777777" w:rsidTr="008A4CE5">
        <w:trPr>
          <w:jc w:val="center"/>
        </w:trPr>
        <w:tc>
          <w:tcPr>
            <w:tcW w:w="906" w:type="dxa"/>
            <w:vMerge/>
            <w:shd w:val="clear" w:color="auto" w:fill="auto"/>
            <w:vAlign w:val="center"/>
          </w:tcPr>
          <w:p w14:paraId="7C1E6A4C"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5E0E909"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058C8D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Όχι</w:t>
            </w:r>
          </w:p>
        </w:tc>
        <w:tc>
          <w:tcPr>
            <w:tcW w:w="2150" w:type="dxa"/>
            <w:shd w:val="clear" w:color="auto" w:fill="auto"/>
            <w:vAlign w:val="center"/>
          </w:tcPr>
          <w:p w14:paraId="391D163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33</w:t>
            </w:r>
          </w:p>
        </w:tc>
      </w:tr>
      <w:tr w:rsidR="00B47B7D" w:rsidRPr="000B6B22" w14:paraId="556CBF63" w14:textId="77777777" w:rsidTr="008A4CE5">
        <w:trPr>
          <w:jc w:val="center"/>
        </w:trPr>
        <w:tc>
          <w:tcPr>
            <w:tcW w:w="906" w:type="dxa"/>
            <w:vMerge w:val="restart"/>
            <w:shd w:val="clear" w:color="auto" w:fill="auto"/>
            <w:vAlign w:val="center"/>
          </w:tcPr>
          <w:p w14:paraId="5F036AC8" w14:textId="77777777" w:rsidR="00E145E1" w:rsidRPr="000B6B22" w:rsidRDefault="00E145E1" w:rsidP="009D4EFF">
            <w:pPr>
              <w:spacing w:before="0"/>
              <w:rPr>
                <w:rFonts w:ascii="Times New Roman" w:hAnsi="Times New Roman"/>
                <w:sz w:val="24"/>
              </w:rPr>
            </w:pPr>
            <w:r>
              <w:rPr>
                <w:rFonts w:ascii="Times New Roman" w:hAnsi="Times New Roman"/>
                <w:sz w:val="24"/>
              </w:rPr>
              <w:lastRenderedPageBreak/>
              <w:t>33</w:t>
            </w:r>
          </w:p>
        </w:tc>
        <w:tc>
          <w:tcPr>
            <w:tcW w:w="5588" w:type="dxa"/>
            <w:gridSpan w:val="3"/>
            <w:vMerge w:val="restart"/>
            <w:shd w:val="clear" w:color="auto" w:fill="auto"/>
            <w:vAlign w:val="center"/>
          </w:tcPr>
          <w:p w14:paraId="21246249" w14:textId="77777777" w:rsidR="00E145E1" w:rsidRPr="000B6B22" w:rsidRDefault="00E145E1" w:rsidP="009D4EFF">
            <w:pPr>
              <w:spacing w:before="0"/>
              <w:rPr>
                <w:rFonts w:ascii="Times New Roman" w:hAnsi="Times New Roman"/>
                <w:sz w:val="24"/>
              </w:rPr>
            </w:pPr>
            <w:r>
              <w:rPr>
                <w:rFonts w:ascii="Times New Roman" w:hAnsi="Times New Roman"/>
                <w:sz w:val="24"/>
              </w:rPr>
              <w:t>Οι εξασφαλίσεις που λαμβάνονται πληρούν τις λειτουργικές απαιτήσεις του άρθρου 8</w:t>
            </w:r>
          </w:p>
        </w:tc>
        <w:tc>
          <w:tcPr>
            <w:tcW w:w="989" w:type="dxa"/>
            <w:shd w:val="clear" w:color="auto" w:fill="auto"/>
            <w:vAlign w:val="center"/>
          </w:tcPr>
          <w:p w14:paraId="0BDB460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Ναι</w:t>
            </w:r>
          </w:p>
        </w:tc>
        <w:tc>
          <w:tcPr>
            <w:tcW w:w="2150" w:type="dxa"/>
            <w:shd w:val="clear" w:color="auto" w:fill="auto"/>
            <w:vAlign w:val="center"/>
          </w:tcPr>
          <w:p w14:paraId="7619C37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w:t>
            </w:r>
          </w:p>
        </w:tc>
      </w:tr>
      <w:tr w:rsidR="00B47B7D" w:rsidRPr="000B6B22" w14:paraId="311E1B0B" w14:textId="77777777" w:rsidTr="008A4CE5">
        <w:trPr>
          <w:jc w:val="center"/>
        </w:trPr>
        <w:tc>
          <w:tcPr>
            <w:tcW w:w="906" w:type="dxa"/>
            <w:vMerge/>
            <w:shd w:val="clear" w:color="auto" w:fill="auto"/>
            <w:vAlign w:val="center"/>
          </w:tcPr>
          <w:p w14:paraId="47F72F47"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0DD895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DEB951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Όχι</w:t>
            </w:r>
          </w:p>
        </w:tc>
        <w:tc>
          <w:tcPr>
            <w:tcW w:w="2150" w:type="dxa"/>
            <w:shd w:val="clear" w:color="auto" w:fill="auto"/>
            <w:vAlign w:val="center"/>
          </w:tcPr>
          <w:p w14:paraId="51C296C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w:t>
            </w:r>
          </w:p>
        </w:tc>
      </w:tr>
      <w:tr w:rsidR="00B47B7D" w:rsidRPr="000B6B22" w14:paraId="5981862B" w14:textId="77777777" w:rsidTr="008A4CE5">
        <w:trPr>
          <w:jc w:val="center"/>
        </w:trPr>
        <w:tc>
          <w:tcPr>
            <w:tcW w:w="906" w:type="dxa"/>
            <w:vMerge w:val="restart"/>
            <w:shd w:val="clear" w:color="auto" w:fill="auto"/>
            <w:vAlign w:val="center"/>
          </w:tcPr>
          <w:p w14:paraId="6B003FEC" w14:textId="77777777" w:rsidR="00E145E1" w:rsidRPr="000B6B22" w:rsidRDefault="00E145E1" w:rsidP="009D4EFF">
            <w:pPr>
              <w:spacing w:before="0"/>
              <w:rPr>
                <w:rFonts w:ascii="Times New Roman" w:hAnsi="Times New Roman"/>
                <w:sz w:val="24"/>
              </w:rPr>
            </w:pPr>
            <w:r>
              <w:rPr>
                <w:rFonts w:ascii="Times New Roman" w:hAnsi="Times New Roman"/>
                <w:sz w:val="24"/>
              </w:rPr>
              <w:t>34</w:t>
            </w:r>
          </w:p>
        </w:tc>
        <w:tc>
          <w:tcPr>
            <w:tcW w:w="2706" w:type="dxa"/>
            <w:vMerge w:val="restart"/>
            <w:shd w:val="clear" w:color="auto" w:fill="auto"/>
            <w:vAlign w:val="center"/>
          </w:tcPr>
          <w:p w14:paraId="03A13327" w14:textId="77777777" w:rsidR="00E145E1" w:rsidRPr="000B6B22" w:rsidRDefault="00E145E1" w:rsidP="009D4EFF">
            <w:pPr>
              <w:spacing w:before="0"/>
              <w:rPr>
                <w:rFonts w:ascii="Times New Roman" w:hAnsi="Times New Roman"/>
                <w:sz w:val="24"/>
              </w:rPr>
            </w:pPr>
            <w:r>
              <w:rPr>
                <w:rFonts w:ascii="Times New Roman" w:hAnsi="Times New Roman"/>
                <w:sz w:val="24"/>
              </w:rPr>
              <w:t>Πράξη εξασφαλισμένης χρηματοδότησης που εξασφαλίζεται με (άρθρο 32 παράγραφος 3 στοιχείο β))</w:t>
            </w:r>
          </w:p>
        </w:tc>
        <w:tc>
          <w:tcPr>
            <w:tcW w:w="724" w:type="dxa"/>
            <w:vMerge w:val="restart"/>
            <w:shd w:val="clear" w:color="auto" w:fill="auto"/>
            <w:vAlign w:val="center"/>
          </w:tcPr>
          <w:p w14:paraId="5A3420BB" w14:textId="77777777" w:rsidR="00E145E1" w:rsidRPr="000B6B22" w:rsidRDefault="00E145E1" w:rsidP="009D4EFF">
            <w:pPr>
              <w:spacing w:before="0"/>
              <w:rPr>
                <w:rFonts w:ascii="Times New Roman" w:hAnsi="Times New Roman"/>
                <w:sz w:val="24"/>
              </w:rPr>
            </w:pPr>
            <w:r>
              <w:rPr>
                <w:rFonts w:ascii="Times New Roman" w:hAnsi="Times New Roman"/>
                <w:sz w:val="24"/>
              </w:rPr>
              <w:t># 34.1</w:t>
            </w:r>
          </w:p>
        </w:tc>
        <w:tc>
          <w:tcPr>
            <w:tcW w:w="2158" w:type="dxa"/>
            <w:vMerge w:val="restart"/>
            <w:shd w:val="clear" w:color="auto" w:fill="auto"/>
            <w:vAlign w:val="center"/>
          </w:tcPr>
          <w:p w14:paraId="1CD87D4D" w14:textId="77777777" w:rsidR="00E145E1" w:rsidRPr="000B6B22" w:rsidRDefault="00E145E1" w:rsidP="009D4EFF">
            <w:pPr>
              <w:spacing w:before="0"/>
              <w:rPr>
                <w:rFonts w:ascii="Times New Roman" w:hAnsi="Times New Roman"/>
                <w:sz w:val="24"/>
              </w:rPr>
            </w:pPr>
            <w:r>
              <w:rPr>
                <w:rFonts w:ascii="Times New Roman" w:hAnsi="Times New Roman"/>
                <w:sz w:val="24"/>
              </w:rPr>
              <w:t>Εξασφαλίσεις επιπέδου 1, εξαιρουμένων των εξαιρετικά υψηλής ποιότητας καλυμμένων ομολόγων</w:t>
            </w:r>
          </w:p>
        </w:tc>
        <w:tc>
          <w:tcPr>
            <w:tcW w:w="989" w:type="dxa"/>
            <w:shd w:val="clear" w:color="auto" w:fill="auto"/>
            <w:vAlign w:val="center"/>
          </w:tcPr>
          <w:p w14:paraId="384BC4D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Ναι</w:t>
            </w:r>
          </w:p>
        </w:tc>
        <w:tc>
          <w:tcPr>
            <w:tcW w:w="2150" w:type="dxa"/>
            <w:shd w:val="clear" w:color="auto" w:fill="auto"/>
            <w:vAlign w:val="center"/>
          </w:tcPr>
          <w:p w14:paraId="4DCC66F1" w14:textId="2072885A"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Γραμμή 309, ID 1.2.2.1.1 + </w:t>
            </w:r>
          </w:p>
          <w:p w14:paraId="359613C7" w14:textId="64E5A68E"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Γραμμή 311, ID 1.2.2.1.1.1</w:t>
            </w:r>
          </w:p>
        </w:tc>
      </w:tr>
      <w:tr w:rsidR="00B47B7D" w:rsidRPr="000B6B22" w14:paraId="53F09526" w14:textId="77777777" w:rsidTr="008A4CE5">
        <w:trPr>
          <w:jc w:val="center"/>
        </w:trPr>
        <w:tc>
          <w:tcPr>
            <w:tcW w:w="906" w:type="dxa"/>
            <w:vMerge/>
            <w:shd w:val="clear" w:color="auto" w:fill="auto"/>
            <w:vAlign w:val="center"/>
          </w:tcPr>
          <w:p w14:paraId="5905076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0F99D7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31B782F"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7FDE909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85EECD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Όχι</w:t>
            </w:r>
          </w:p>
        </w:tc>
        <w:tc>
          <w:tcPr>
            <w:tcW w:w="2150" w:type="dxa"/>
            <w:shd w:val="clear" w:color="auto" w:fill="auto"/>
            <w:vAlign w:val="center"/>
          </w:tcPr>
          <w:p w14:paraId="0CAFEBA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34.2</w:t>
            </w:r>
          </w:p>
        </w:tc>
      </w:tr>
      <w:tr w:rsidR="00B47B7D" w:rsidRPr="000B6B22" w14:paraId="06B0681B" w14:textId="77777777" w:rsidTr="008A4CE5">
        <w:trPr>
          <w:jc w:val="center"/>
        </w:trPr>
        <w:tc>
          <w:tcPr>
            <w:tcW w:w="906" w:type="dxa"/>
            <w:vMerge/>
            <w:shd w:val="clear" w:color="auto" w:fill="auto"/>
            <w:vAlign w:val="center"/>
          </w:tcPr>
          <w:p w14:paraId="4F96BC14"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4BA2CF8"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555C20E6" w14:textId="77777777" w:rsidR="00E145E1" w:rsidRPr="000B6B22" w:rsidRDefault="00E145E1" w:rsidP="009D4EFF">
            <w:pPr>
              <w:spacing w:before="0"/>
              <w:rPr>
                <w:rFonts w:ascii="Times New Roman" w:hAnsi="Times New Roman"/>
                <w:sz w:val="24"/>
              </w:rPr>
            </w:pPr>
            <w:r>
              <w:rPr>
                <w:rFonts w:ascii="Times New Roman" w:hAnsi="Times New Roman"/>
                <w:sz w:val="24"/>
              </w:rPr>
              <w:t># 34.2</w:t>
            </w:r>
          </w:p>
        </w:tc>
        <w:tc>
          <w:tcPr>
            <w:tcW w:w="2158" w:type="dxa"/>
            <w:vMerge w:val="restart"/>
            <w:shd w:val="clear" w:color="auto" w:fill="auto"/>
            <w:vAlign w:val="center"/>
          </w:tcPr>
          <w:p w14:paraId="4A670C98" w14:textId="77777777" w:rsidR="00E145E1" w:rsidRPr="000B6B22" w:rsidRDefault="00E145E1" w:rsidP="009D4EFF">
            <w:pPr>
              <w:spacing w:before="0"/>
              <w:rPr>
                <w:rFonts w:ascii="Times New Roman" w:hAnsi="Times New Roman"/>
                <w:sz w:val="24"/>
              </w:rPr>
            </w:pPr>
            <w:r>
              <w:rPr>
                <w:rFonts w:ascii="Times New Roman" w:hAnsi="Times New Roman"/>
                <w:sz w:val="24"/>
              </w:rPr>
              <w:t>Εξασφαλίσεις με εξαιρετικά υψηλής ποιότητας καλυμμένα ομόλογα επιπέδου 1</w:t>
            </w:r>
          </w:p>
        </w:tc>
        <w:tc>
          <w:tcPr>
            <w:tcW w:w="989" w:type="dxa"/>
            <w:shd w:val="clear" w:color="auto" w:fill="auto"/>
            <w:vAlign w:val="center"/>
          </w:tcPr>
          <w:p w14:paraId="6E5AF26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Ναι</w:t>
            </w:r>
          </w:p>
        </w:tc>
        <w:tc>
          <w:tcPr>
            <w:tcW w:w="2150" w:type="dxa"/>
            <w:shd w:val="clear" w:color="auto" w:fill="auto"/>
            <w:vAlign w:val="center"/>
          </w:tcPr>
          <w:p w14:paraId="3212CC7D" w14:textId="593388D3"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Γραμμή 313, ID 1.2.2.1.2 + </w:t>
            </w:r>
          </w:p>
          <w:p w14:paraId="163B942E" w14:textId="2914EE6E"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Γραμμή 315, ID 1.2.2.1.2.1</w:t>
            </w:r>
          </w:p>
        </w:tc>
      </w:tr>
      <w:tr w:rsidR="00B47B7D" w:rsidRPr="000B6B22" w14:paraId="3CE34452" w14:textId="77777777" w:rsidTr="008A4CE5">
        <w:trPr>
          <w:jc w:val="center"/>
        </w:trPr>
        <w:tc>
          <w:tcPr>
            <w:tcW w:w="906" w:type="dxa"/>
            <w:vMerge/>
            <w:shd w:val="clear" w:color="auto" w:fill="auto"/>
            <w:vAlign w:val="center"/>
          </w:tcPr>
          <w:p w14:paraId="38967A8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FE8232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079A58C8"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74CA5A1"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27AFB6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Όχι</w:t>
            </w:r>
          </w:p>
        </w:tc>
        <w:tc>
          <w:tcPr>
            <w:tcW w:w="2150" w:type="dxa"/>
            <w:shd w:val="clear" w:color="auto" w:fill="auto"/>
            <w:vAlign w:val="center"/>
          </w:tcPr>
          <w:p w14:paraId="230CCB6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34.3</w:t>
            </w:r>
          </w:p>
        </w:tc>
      </w:tr>
      <w:tr w:rsidR="00B47B7D" w:rsidRPr="000B6B22" w14:paraId="29D6C173" w14:textId="77777777" w:rsidTr="008A4CE5">
        <w:trPr>
          <w:jc w:val="center"/>
        </w:trPr>
        <w:tc>
          <w:tcPr>
            <w:tcW w:w="906" w:type="dxa"/>
            <w:vMerge/>
            <w:shd w:val="clear" w:color="auto" w:fill="auto"/>
            <w:vAlign w:val="center"/>
          </w:tcPr>
          <w:p w14:paraId="75C0CFD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0F21A9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2F3B2CE" w14:textId="77777777" w:rsidR="00E145E1" w:rsidRPr="000B6B22" w:rsidRDefault="00E145E1" w:rsidP="009D4EFF">
            <w:pPr>
              <w:spacing w:before="0"/>
              <w:rPr>
                <w:rFonts w:ascii="Times New Roman" w:hAnsi="Times New Roman"/>
                <w:sz w:val="24"/>
              </w:rPr>
            </w:pPr>
            <w:r>
              <w:rPr>
                <w:rFonts w:ascii="Times New Roman" w:hAnsi="Times New Roman"/>
                <w:sz w:val="24"/>
              </w:rPr>
              <w:t># 34.3</w:t>
            </w:r>
          </w:p>
        </w:tc>
        <w:tc>
          <w:tcPr>
            <w:tcW w:w="2158" w:type="dxa"/>
            <w:vMerge w:val="restart"/>
            <w:shd w:val="clear" w:color="auto" w:fill="auto"/>
            <w:vAlign w:val="center"/>
          </w:tcPr>
          <w:p w14:paraId="3A1F6466" w14:textId="77777777" w:rsidR="00E145E1" w:rsidRPr="000B6B22" w:rsidRDefault="00E145E1" w:rsidP="009D4EFF">
            <w:pPr>
              <w:spacing w:before="0"/>
              <w:rPr>
                <w:rFonts w:ascii="Times New Roman" w:hAnsi="Times New Roman"/>
                <w:sz w:val="24"/>
              </w:rPr>
            </w:pPr>
            <w:r>
              <w:rPr>
                <w:rFonts w:ascii="Times New Roman" w:hAnsi="Times New Roman"/>
                <w:sz w:val="24"/>
              </w:rPr>
              <w:t>Εξασφαλίσεις επιπέδου 2Α</w:t>
            </w:r>
          </w:p>
        </w:tc>
        <w:tc>
          <w:tcPr>
            <w:tcW w:w="989" w:type="dxa"/>
            <w:shd w:val="clear" w:color="auto" w:fill="auto"/>
            <w:vAlign w:val="center"/>
          </w:tcPr>
          <w:p w14:paraId="615B810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Ναι</w:t>
            </w:r>
          </w:p>
        </w:tc>
        <w:tc>
          <w:tcPr>
            <w:tcW w:w="2150" w:type="dxa"/>
            <w:shd w:val="clear" w:color="auto" w:fill="auto"/>
            <w:vAlign w:val="center"/>
          </w:tcPr>
          <w:p w14:paraId="0E710F68" w14:textId="230BBB65"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Γραμμή 317, ID 1.2.2.1.3 + </w:t>
            </w:r>
          </w:p>
          <w:p w14:paraId="2268CEEB" w14:textId="1420C578"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Γραμμή 319, ID 1.2.2.1.3.1</w:t>
            </w:r>
          </w:p>
        </w:tc>
      </w:tr>
      <w:tr w:rsidR="00B47B7D" w:rsidRPr="000B6B22" w14:paraId="140E5D98" w14:textId="77777777" w:rsidTr="008A4CE5">
        <w:trPr>
          <w:jc w:val="center"/>
        </w:trPr>
        <w:tc>
          <w:tcPr>
            <w:tcW w:w="906" w:type="dxa"/>
            <w:vMerge/>
            <w:shd w:val="clear" w:color="auto" w:fill="auto"/>
            <w:vAlign w:val="center"/>
          </w:tcPr>
          <w:p w14:paraId="2EC81578"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CEC7B61"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7460976"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4E5C9CF"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E7BF127"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Όχι</w:t>
            </w:r>
          </w:p>
        </w:tc>
        <w:tc>
          <w:tcPr>
            <w:tcW w:w="2150" w:type="dxa"/>
            <w:shd w:val="clear" w:color="auto" w:fill="auto"/>
            <w:vAlign w:val="center"/>
          </w:tcPr>
          <w:p w14:paraId="33DF2EAC"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34.4</w:t>
            </w:r>
          </w:p>
        </w:tc>
      </w:tr>
      <w:tr w:rsidR="00B47B7D" w:rsidRPr="000B6B22" w14:paraId="75940061" w14:textId="77777777" w:rsidTr="008A4CE5">
        <w:trPr>
          <w:jc w:val="center"/>
        </w:trPr>
        <w:tc>
          <w:tcPr>
            <w:tcW w:w="906" w:type="dxa"/>
            <w:vMerge/>
            <w:shd w:val="clear" w:color="auto" w:fill="auto"/>
            <w:vAlign w:val="center"/>
          </w:tcPr>
          <w:p w14:paraId="0629534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A6CBA6F"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83926E4" w14:textId="77777777" w:rsidR="00E145E1" w:rsidRPr="000B6B22" w:rsidRDefault="00E145E1" w:rsidP="009D4EFF">
            <w:pPr>
              <w:spacing w:before="0"/>
              <w:rPr>
                <w:rFonts w:ascii="Times New Roman" w:hAnsi="Times New Roman"/>
                <w:sz w:val="24"/>
              </w:rPr>
            </w:pPr>
            <w:r>
              <w:rPr>
                <w:rFonts w:ascii="Times New Roman" w:hAnsi="Times New Roman"/>
                <w:sz w:val="24"/>
              </w:rPr>
              <w:t># 34.4</w:t>
            </w:r>
          </w:p>
        </w:tc>
        <w:tc>
          <w:tcPr>
            <w:tcW w:w="2158" w:type="dxa"/>
            <w:vMerge w:val="restart"/>
            <w:shd w:val="clear" w:color="auto" w:fill="auto"/>
            <w:vAlign w:val="center"/>
          </w:tcPr>
          <w:p w14:paraId="0395C855" w14:textId="77777777" w:rsidR="00E145E1" w:rsidRPr="000B6B22" w:rsidRDefault="00E145E1" w:rsidP="009D4EFF">
            <w:pPr>
              <w:spacing w:before="0"/>
              <w:rPr>
                <w:rFonts w:ascii="Times New Roman" w:hAnsi="Times New Roman"/>
                <w:sz w:val="24"/>
              </w:rPr>
            </w:pPr>
            <w:r>
              <w:rPr>
                <w:rFonts w:ascii="Times New Roman" w:hAnsi="Times New Roman"/>
                <w:sz w:val="24"/>
              </w:rPr>
              <w:t>Εξασφαλίσεις με επιπέδου 2B τίτλους από τιτλοποίηση (στεγαστικά δάνεια ή δάνεια για την αγορά αυτοκινήτου)</w:t>
            </w:r>
          </w:p>
        </w:tc>
        <w:tc>
          <w:tcPr>
            <w:tcW w:w="989" w:type="dxa"/>
            <w:shd w:val="clear" w:color="auto" w:fill="auto"/>
            <w:vAlign w:val="center"/>
          </w:tcPr>
          <w:p w14:paraId="24330DA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Ναι</w:t>
            </w:r>
          </w:p>
        </w:tc>
        <w:tc>
          <w:tcPr>
            <w:tcW w:w="2150" w:type="dxa"/>
            <w:shd w:val="clear" w:color="auto" w:fill="auto"/>
            <w:vAlign w:val="center"/>
          </w:tcPr>
          <w:p w14:paraId="559F1F39" w14:textId="484453C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Γραμμή 321, ID 1.2.2.1.4 + </w:t>
            </w:r>
          </w:p>
          <w:p w14:paraId="547DB4F5" w14:textId="004EC234"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Γραμμή 323, ID 1.2.2.1.4.1</w:t>
            </w:r>
          </w:p>
        </w:tc>
      </w:tr>
      <w:tr w:rsidR="00B47B7D" w:rsidRPr="000B6B22" w14:paraId="530FF148" w14:textId="77777777" w:rsidTr="008A4CE5">
        <w:trPr>
          <w:jc w:val="center"/>
        </w:trPr>
        <w:tc>
          <w:tcPr>
            <w:tcW w:w="906" w:type="dxa"/>
            <w:vMerge/>
            <w:shd w:val="clear" w:color="auto" w:fill="auto"/>
            <w:vAlign w:val="center"/>
          </w:tcPr>
          <w:p w14:paraId="49DF803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E46F5A2"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34A030C"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6963A9D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F78809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Όχι</w:t>
            </w:r>
          </w:p>
        </w:tc>
        <w:tc>
          <w:tcPr>
            <w:tcW w:w="2150" w:type="dxa"/>
            <w:shd w:val="clear" w:color="auto" w:fill="auto"/>
            <w:vAlign w:val="center"/>
          </w:tcPr>
          <w:p w14:paraId="3CE9092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34.5</w:t>
            </w:r>
          </w:p>
        </w:tc>
      </w:tr>
      <w:tr w:rsidR="00B47B7D" w:rsidRPr="000B6B22" w14:paraId="2E4650DE" w14:textId="77777777" w:rsidTr="00454544">
        <w:trPr>
          <w:trHeight w:val="680"/>
          <w:jc w:val="center"/>
        </w:trPr>
        <w:tc>
          <w:tcPr>
            <w:tcW w:w="906" w:type="dxa"/>
            <w:vMerge/>
            <w:shd w:val="clear" w:color="auto" w:fill="auto"/>
            <w:vAlign w:val="center"/>
          </w:tcPr>
          <w:p w14:paraId="25A83D2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23E235C"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4DF4A60" w14:textId="77777777" w:rsidR="00E145E1" w:rsidRPr="000B6B22" w:rsidRDefault="00E145E1" w:rsidP="009D4EFF">
            <w:pPr>
              <w:spacing w:before="0"/>
              <w:rPr>
                <w:rFonts w:ascii="Times New Roman" w:hAnsi="Times New Roman"/>
                <w:sz w:val="24"/>
              </w:rPr>
            </w:pPr>
            <w:r>
              <w:rPr>
                <w:rFonts w:ascii="Times New Roman" w:hAnsi="Times New Roman"/>
                <w:sz w:val="24"/>
              </w:rPr>
              <w:t># 34.5</w:t>
            </w:r>
          </w:p>
        </w:tc>
        <w:tc>
          <w:tcPr>
            <w:tcW w:w="2158" w:type="dxa"/>
            <w:vMerge w:val="restart"/>
            <w:shd w:val="clear" w:color="auto" w:fill="auto"/>
            <w:vAlign w:val="center"/>
          </w:tcPr>
          <w:p w14:paraId="6535296D" w14:textId="77777777" w:rsidR="00E145E1" w:rsidRPr="000B6B22" w:rsidRDefault="00E145E1" w:rsidP="009D4EFF">
            <w:pPr>
              <w:spacing w:before="0"/>
              <w:rPr>
                <w:rFonts w:ascii="Times New Roman" w:hAnsi="Times New Roman"/>
                <w:sz w:val="24"/>
              </w:rPr>
            </w:pPr>
            <w:r>
              <w:rPr>
                <w:rFonts w:ascii="Times New Roman" w:hAnsi="Times New Roman"/>
                <w:sz w:val="24"/>
              </w:rPr>
              <w:t>Εξασφαλίσεις με υψηλής ποιότητας καλυμμένα ομόλογα επιπέδου 2Β</w:t>
            </w:r>
          </w:p>
        </w:tc>
        <w:tc>
          <w:tcPr>
            <w:tcW w:w="989" w:type="dxa"/>
            <w:shd w:val="clear" w:color="auto" w:fill="auto"/>
            <w:vAlign w:val="center"/>
          </w:tcPr>
          <w:p w14:paraId="438331A9"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Ναι</w:t>
            </w:r>
          </w:p>
        </w:tc>
        <w:tc>
          <w:tcPr>
            <w:tcW w:w="2150" w:type="dxa"/>
            <w:shd w:val="clear" w:color="auto" w:fill="auto"/>
            <w:vAlign w:val="center"/>
          </w:tcPr>
          <w:p w14:paraId="1B14EBED" w14:textId="687CEE40"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Γραμμή 325, ID 1.2.2.1.5 + </w:t>
            </w:r>
          </w:p>
          <w:p w14:paraId="0CAB9A2C" w14:textId="1BCCF149"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Γραμμή 327, ID 1.2.2.1.5.1</w:t>
            </w:r>
          </w:p>
        </w:tc>
      </w:tr>
      <w:tr w:rsidR="00B47B7D" w:rsidRPr="000B6B22" w14:paraId="6486952B" w14:textId="77777777" w:rsidTr="00454544">
        <w:trPr>
          <w:trHeight w:val="283"/>
          <w:jc w:val="center"/>
        </w:trPr>
        <w:tc>
          <w:tcPr>
            <w:tcW w:w="906" w:type="dxa"/>
            <w:vMerge/>
            <w:shd w:val="clear" w:color="auto" w:fill="auto"/>
            <w:vAlign w:val="center"/>
          </w:tcPr>
          <w:p w14:paraId="5A99280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0A20E34"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407C36C"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8E0DA9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52F340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Όχι</w:t>
            </w:r>
          </w:p>
        </w:tc>
        <w:tc>
          <w:tcPr>
            <w:tcW w:w="2150" w:type="dxa"/>
            <w:shd w:val="clear" w:color="auto" w:fill="auto"/>
            <w:vAlign w:val="center"/>
          </w:tcPr>
          <w:p w14:paraId="3EEB50C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34.6</w:t>
            </w:r>
          </w:p>
        </w:tc>
      </w:tr>
      <w:tr w:rsidR="00B47B7D" w:rsidRPr="000B6B22" w14:paraId="5EA2FEEF" w14:textId="77777777" w:rsidTr="008A4CE5">
        <w:trPr>
          <w:jc w:val="center"/>
        </w:trPr>
        <w:tc>
          <w:tcPr>
            <w:tcW w:w="906" w:type="dxa"/>
            <w:vMerge/>
            <w:shd w:val="clear" w:color="auto" w:fill="auto"/>
            <w:vAlign w:val="center"/>
          </w:tcPr>
          <w:p w14:paraId="1A157947"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4DA466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04CC8ED4" w14:textId="77777777" w:rsidR="00E145E1" w:rsidRPr="000B6B22" w:rsidRDefault="00E145E1" w:rsidP="009D4EFF">
            <w:pPr>
              <w:spacing w:before="0"/>
              <w:rPr>
                <w:rFonts w:ascii="Times New Roman" w:hAnsi="Times New Roman"/>
                <w:sz w:val="24"/>
              </w:rPr>
            </w:pPr>
            <w:r>
              <w:rPr>
                <w:rFonts w:ascii="Times New Roman" w:hAnsi="Times New Roman"/>
                <w:sz w:val="24"/>
              </w:rPr>
              <w:t># 34.6</w:t>
            </w:r>
          </w:p>
        </w:tc>
        <w:tc>
          <w:tcPr>
            <w:tcW w:w="2158" w:type="dxa"/>
            <w:vMerge w:val="restart"/>
            <w:shd w:val="clear" w:color="auto" w:fill="auto"/>
            <w:vAlign w:val="center"/>
          </w:tcPr>
          <w:p w14:paraId="36901C94" w14:textId="77777777" w:rsidR="00E145E1" w:rsidRPr="000B6B22" w:rsidRDefault="00E145E1" w:rsidP="009D4EFF">
            <w:pPr>
              <w:spacing w:before="0"/>
              <w:rPr>
                <w:rFonts w:ascii="Times New Roman" w:hAnsi="Times New Roman"/>
                <w:sz w:val="24"/>
              </w:rPr>
            </w:pPr>
            <w:r>
              <w:rPr>
                <w:rFonts w:ascii="Times New Roman" w:hAnsi="Times New Roman"/>
                <w:sz w:val="24"/>
              </w:rPr>
              <w:t>Εξασφαλίσεις με επιπέδου 2B τίτλους από τιτλοποίηση (εμπορικά δάνεια ή δάνεια σε ιδιώτες)</w:t>
            </w:r>
          </w:p>
        </w:tc>
        <w:tc>
          <w:tcPr>
            <w:tcW w:w="989" w:type="dxa"/>
            <w:shd w:val="clear" w:color="auto" w:fill="auto"/>
            <w:vAlign w:val="center"/>
          </w:tcPr>
          <w:p w14:paraId="51A5312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Ναι</w:t>
            </w:r>
          </w:p>
        </w:tc>
        <w:tc>
          <w:tcPr>
            <w:tcW w:w="2150" w:type="dxa"/>
            <w:shd w:val="clear" w:color="auto" w:fill="auto"/>
            <w:vAlign w:val="center"/>
          </w:tcPr>
          <w:p w14:paraId="495AB73F" w14:textId="20512BD4"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Γραμμή 329, ID 1.2.2.1.6 + </w:t>
            </w:r>
          </w:p>
          <w:p w14:paraId="3834DA2F" w14:textId="650B213B"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Γραμμή 331, ID 1.2.2.1.6.1</w:t>
            </w:r>
          </w:p>
        </w:tc>
      </w:tr>
      <w:tr w:rsidR="00B47B7D" w:rsidRPr="000B6B22" w14:paraId="43B93237" w14:textId="77777777" w:rsidTr="008A4CE5">
        <w:trPr>
          <w:jc w:val="center"/>
        </w:trPr>
        <w:tc>
          <w:tcPr>
            <w:tcW w:w="906" w:type="dxa"/>
            <w:vMerge/>
            <w:shd w:val="clear" w:color="auto" w:fill="auto"/>
            <w:vAlign w:val="center"/>
          </w:tcPr>
          <w:p w14:paraId="2E1B0A11"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E5DEF96"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4BD3D4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7AE4F3A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C64619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Όχι</w:t>
            </w:r>
          </w:p>
        </w:tc>
        <w:tc>
          <w:tcPr>
            <w:tcW w:w="2150" w:type="dxa"/>
            <w:shd w:val="clear" w:color="auto" w:fill="auto"/>
            <w:vAlign w:val="center"/>
          </w:tcPr>
          <w:p w14:paraId="720033D1" w14:textId="7706BDA1"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Γραμμή 333, ID 1.2.2.1.7 + </w:t>
            </w:r>
          </w:p>
          <w:p w14:paraId="0CD0DCF4" w14:textId="58A5CA9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Γραμμή 335, ID 1.2.2.1.7.1</w:t>
            </w:r>
          </w:p>
        </w:tc>
      </w:tr>
      <w:tr w:rsidR="00B47B7D" w:rsidRPr="000B6B22" w14:paraId="20B14BB7" w14:textId="77777777" w:rsidTr="008A4CE5">
        <w:trPr>
          <w:trHeight w:val="454"/>
          <w:jc w:val="center"/>
        </w:trPr>
        <w:tc>
          <w:tcPr>
            <w:tcW w:w="906" w:type="dxa"/>
            <w:vMerge w:val="restart"/>
            <w:shd w:val="clear" w:color="auto" w:fill="auto"/>
            <w:vAlign w:val="center"/>
          </w:tcPr>
          <w:p w14:paraId="32C83CF3" w14:textId="77777777" w:rsidR="00E145E1" w:rsidRPr="000B6B22" w:rsidRDefault="00E145E1" w:rsidP="009D4EFF">
            <w:pPr>
              <w:spacing w:before="0"/>
              <w:rPr>
                <w:rFonts w:ascii="Times New Roman" w:hAnsi="Times New Roman"/>
                <w:sz w:val="24"/>
              </w:rPr>
            </w:pPr>
            <w:r>
              <w:rPr>
                <w:rFonts w:ascii="Times New Roman" w:hAnsi="Times New Roman"/>
                <w:sz w:val="24"/>
              </w:rPr>
              <w:t>35</w:t>
            </w:r>
          </w:p>
        </w:tc>
        <w:tc>
          <w:tcPr>
            <w:tcW w:w="2706" w:type="dxa"/>
            <w:vMerge w:val="restart"/>
            <w:shd w:val="clear" w:color="auto" w:fill="auto"/>
            <w:vAlign w:val="center"/>
          </w:tcPr>
          <w:p w14:paraId="46D70F5E" w14:textId="77777777" w:rsidR="00E145E1" w:rsidRPr="000B6B22" w:rsidRDefault="00E145E1" w:rsidP="009D4EFF">
            <w:pPr>
              <w:spacing w:before="0"/>
              <w:rPr>
                <w:rFonts w:ascii="Times New Roman" w:hAnsi="Times New Roman"/>
                <w:sz w:val="24"/>
              </w:rPr>
            </w:pPr>
            <w:r>
              <w:rPr>
                <w:rFonts w:ascii="Times New Roman" w:hAnsi="Times New Roman"/>
                <w:sz w:val="24"/>
              </w:rPr>
              <w:t xml:space="preserve">Πράξη εξασφαλισμένης χρηματοδότησης που εξασφαλίζεται με (άρθρο </w:t>
            </w:r>
            <w:r>
              <w:rPr>
                <w:rFonts w:ascii="Times New Roman" w:hAnsi="Times New Roman"/>
                <w:sz w:val="24"/>
              </w:rPr>
              <w:lastRenderedPageBreak/>
              <w:t>32 παράγραφος 3 στοιχείο β))</w:t>
            </w:r>
          </w:p>
        </w:tc>
        <w:tc>
          <w:tcPr>
            <w:tcW w:w="724" w:type="dxa"/>
            <w:vMerge w:val="restart"/>
            <w:shd w:val="clear" w:color="auto" w:fill="auto"/>
            <w:vAlign w:val="center"/>
          </w:tcPr>
          <w:p w14:paraId="437561DD" w14:textId="77777777" w:rsidR="00E145E1" w:rsidRPr="000B6B22" w:rsidRDefault="00E145E1" w:rsidP="009D4EFF">
            <w:pPr>
              <w:spacing w:before="0"/>
              <w:rPr>
                <w:rFonts w:ascii="Times New Roman" w:hAnsi="Times New Roman"/>
                <w:sz w:val="24"/>
              </w:rPr>
            </w:pPr>
            <w:r>
              <w:rPr>
                <w:rFonts w:ascii="Times New Roman" w:hAnsi="Times New Roman"/>
                <w:sz w:val="24"/>
              </w:rPr>
              <w:lastRenderedPageBreak/>
              <w:t># 35.1</w:t>
            </w:r>
          </w:p>
        </w:tc>
        <w:tc>
          <w:tcPr>
            <w:tcW w:w="2158" w:type="dxa"/>
            <w:vMerge w:val="restart"/>
            <w:shd w:val="clear" w:color="auto" w:fill="auto"/>
            <w:vAlign w:val="center"/>
          </w:tcPr>
          <w:p w14:paraId="09383787" w14:textId="77777777" w:rsidR="00E145E1" w:rsidRPr="000B6B22" w:rsidRDefault="00E145E1" w:rsidP="009D4EFF">
            <w:pPr>
              <w:spacing w:before="0"/>
              <w:rPr>
                <w:rFonts w:ascii="Times New Roman" w:hAnsi="Times New Roman"/>
                <w:sz w:val="24"/>
              </w:rPr>
            </w:pPr>
            <w:r>
              <w:rPr>
                <w:rFonts w:ascii="Times New Roman" w:hAnsi="Times New Roman"/>
                <w:sz w:val="24"/>
              </w:rPr>
              <w:t xml:space="preserve">Εξασφαλίσεις επιπέδου 1, εξαιρουμένων των εξαιρετικά υψηλής ποιότητας </w:t>
            </w:r>
            <w:r>
              <w:rPr>
                <w:rFonts w:ascii="Times New Roman" w:hAnsi="Times New Roman"/>
                <w:sz w:val="24"/>
              </w:rPr>
              <w:lastRenderedPageBreak/>
              <w:t>καλυμμένων ομολόγων</w:t>
            </w:r>
          </w:p>
        </w:tc>
        <w:tc>
          <w:tcPr>
            <w:tcW w:w="989" w:type="dxa"/>
            <w:shd w:val="clear" w:color="auto" w:fill="auto"/>
            <w:vAlign w:val="center"/>
          </w:tcPr>
          <w:p w14:paraId="4CB6DA2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lastRenderedPageBreak/>
              <w:t>Ναι</w:t>
            </w:r>
          </w:p>
        </w:tc>
        <w:tc>
          <w:tcPr>
            <w:tcW w:w="2150" w:type="dxa"/>
            <w:shd w:val="clear" w:color="auto" w:fill="auto"/>
            <w:vAlign w:val="center"/>
          </w:tcPr>
          <w:p w14:paraId="1DDC1F81" w14:textId="6B59DB7E"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Γραμμή 309, ID 1.2.2.1.1</w:t>
            </w:r>
          </w:p>
        </w:tc>
      </w:tr>
      <w:tr w:rsidR="00B47B7D" w:rsidRPr="000B6B22" w14:paraId="53D5E55C" w14:textId="77777777" w:rsidTr="008A4CE5">
        <w:trPr>
          <w:jc w:val="center"/>
        </w:trPr>
        <w:tc>
          <w:tcPr>
            <w:tcW w:w="906" w:type="dxa"/>
            <w:vMerge/>
            <w:shd w:val="clear" w:color="auto" w:fill="auto"/>
            <w:vAlign w:val="center"/>
          </w:tcPr>
          <w:p w14:paraId="4CB279A1"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5F100A2"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39B23D5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5E706A6"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AF6C6F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Όχι</w:t>
            </w:r>
          </w:p>
        </w:tc>
        <w:tc>
          <w:tcPr>
            <w:tcW w:w="2150" w:type="dxa"/>
            <w:shd w:val="clear" w:color="auto" w:fill="auto"/>
            <w:vAlign w:val="center"/>
          </w:tcPr>
          <w:p w14:paraId="383B3E6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35.2</w:t>
            </w:r>
          </w:p>
        </w:tc>
      </w:tr>
      <w:tr w:rsidR="00B47B7D" w:rsidRPr="000B6B22" w14:paraId="25F0CC92" w14:textId="77777777" w:rsidTr="008A4CE5">
        <w:trPr>
          <w:trHeight w:val="454"/>
          <w:jc w:val="center"/>
        </w:trPr>
        <w:tc>
          <w:tcPr>
            <w:tcW w:w="906" w:type="dxa"/>
            <w:vMerge/>
            <w:shd w:val="clear" w:color="auto" w:fill="auto"/>
            <w:vAlign w:val="center"/>
          </w:tcPr>
          <w:p w14:paraId="4FCCE27F"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21A0772"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B9C43B5" w14:textId="77777777" w:rsidR="00E145E1" w:rsidRPr="000B6B22" w:rsidRDefault="00E145E1" w:rsidP="009D4EFF">
            <w:pPr>
              <w:spacing w:before="0"/>
              <w:rPr>
                <w:rFonts w:ascii="Times New Roman" w:hAnsi="Times New Roman"/>
                <w:sz w:val="24"/>
              </w:rPr>
            </w:pPr>
            <w:r>
              <w:rPr>
                <w:rFonts w:ascii="Times New Roman" w:hAnsi="Times New Roman"/>
                <w:sz w:val="24"/>
              </w:rPr>
              <w:t># 35.2</w:t>
            </w:r>
          </w:p>
        </w:tc>
        <w:tc>
          <w:tcPr>
            <w:tcW w:w="2158" w:type="dxa"/>
            <w:vMerge w:val="restart"/>
            <w:shd w:val="clear" w:color="auto" w:fill="auto"/>
            <w:vAlign w:val="center"/>
          </w:tcPr>
          <w:p w14:paraId="74DE3F6F" w14:textId="77777777" w:rsidR="00E145E1" w:rsidRPr="000B6B22" w:rsidRDefault="00E145E1" w:rsidP="009D4EFF">
            <w:pPr>
              <w:spacing w:before="0"/>
              <w:rPr>
                <w:rFonts w:ascii="Times New Roman" w:hAnsi="Times New Roman"/>
                <w:sz w:val="24"/>
              </w:rPr>
            </w:pPr>
            <w:r>
              <w:rPr>
                <w:rFonts w:ascii="Times New Roman" w:hAnsi="Times New Roman"/>
                <w:sz w:val="24"/>
              </w:rPr>
              <w:t>Εξασφαλίσεις με εξαιρετικά υψηλής ποιότητας καλυμμένα ομόλογα επιπέδου 1</w:t>
            </w:r>
          </w:p>
        </w:tc>
        <w:tc>
          <w:tcPr>
            <w:tcW w:w="989" w:type="dxa"/>
            <w:shd w:val="clear" w:color="auto" w:fill="auto"/>
            <w:vAlign w:val="center"/>
          </w:tcPr>
          <w:p w14:paraId="0D347D8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Ναι</w:t>
            </w:r>
          </w:p>
        </w:tc>
        <w:tc>
          <w:tcPr>
            <w:tcW w:w="2150" w:type="dxa"/>
            <w:shd w:val="clear" w:color="auto" w:fill="auto"/>
            <w:vAlign w:val="center"/>
          </w:tcPr>
          <w:p w14:paraId="31BFCB8E" w14:textId="71466C6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Γραμμή 313, ID 1.2.2.1.2</w:t>
            </w:r>
          </w:p>
        </w:tc>
      </w:tr>
      <w:tr w:rsidR="00B47B7D" w:rsidRPr="000B6B22" w14:paraId="20C70C82" w14:textId="77777777" w:rsidTr="008A4CE5">
        <w:trPr>
          <w:jc w:val="center"/>
        </w:trPr>
        <w:tc>
          <w:tcPr>
            <w:tcW w:w="906" w:type="dxa"/>
            <w:vMerge/>
            <w:shd w:val="clear" w:color="auto" w:fill="auto"/>
            <w:vAlign w:val="center"/>
          </w:tcPr>
          <w:p w14:paraId="21E4C98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1149E6E"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F0EBFFE"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3E871E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76683DC"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Όχι</w:t>
            </w:r>
          </w:p>
        </w:tc>
        <w:tc>
          <w:tcPr>
            <w:tcW w:w="2150" w:type="dxa"/>
            <w:shd w:val="clear" w:color="auto" w:fill="auto"/>
            <w:vAlign w:val="center"/>
          </w:tcPr>
          <w:p w14:paraId="22DD59B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35.3</w:t>
            </w:r>
          </w:p>
        </w:tc>
      </w:tr>
      <w:tr w:rsidR="00B47B7D" w:rsidRPr="000B6B22" w14:paraId="1388C1B3" w14:textId="77777777" w:rsidTr="008A4CE5">
        <w:trPr>
          <w:jc w:val="center"/>
        </w:trPr>
        <w:tc>
          <w:tcPr>
            <w:tcW w:w="906" w:type="dxa"/>
            <w:vMerge/>
            <w:shd w:val="clear" w:color="auto" w:fill="auto"/>
            <w:vAlign w:val="center"/>
          </w:tcPr>
          <w:p w14:paraId="0F37A0F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426A6A7"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9D431BB" w14:textId="77777777" w:rsidR="00E145E1" w:rsidRPr="000B6B22" w:rsidRDefault="00E145E1" w:rsidP="009D4EFF">
            <w:pPr>
              <w:spacing w:before="0"/>
              <w:rPr>
                <w:rFonts w:ascii="Times New Roman" w:hAnsi="Times New Roman"/>
                <w:sz w:val="24"/>
              </w:rPr>
            </w:pPr>
            <w:r>
              <w:rPr>
                <w:rFonts w:ascii="Times New Roman" w:hAnsi="Times New Roman"/>
                <w:sz w:val="24"/>
              </w:rPr>
              <w:t># 35.3</w:t>
            </w:r>
          </w:p>
        </w:tc>
        <w:tc>
          <w:tcPr>
            <w:tcW w:w="2158" w:type="dxa"/>
            <w:vMerge w:val="restart"/>
            <w:shd w:val="clear" w:color="auto" w:fill="auto"/>
            <w:vAlign w:val="center"/>
          </w:tcPr>
          <w:p w14:paraId="1C849D57" w14:textId="77777777" w:rsidR="00E145E1" w:rsidRPr="000B6B22" w:rsidRDefault="00E145E1" w:rsidP="009D4EFF">
            <w:pPr>
              <w:spacing w:before="0"/>
              <w:rPr>
                <w:rFonts w:ascii="Times New Roman" w:hAnsi="Times New Roman"/>
                <w:sz w:val="24"/>
              </w:rPr>
            </w:pPr>
            <w:r>
              <w:rPr>
                <w:rFonts w:ascii="Times New Roman" w:hAnsi="Times New Roman"/>
                <w:sz w:val="24"/>
              </w:rPr>
              <w:t>Εξασφαλίσεις επιπέδου 2Α</w:t>
            </w:r>
          </w:p>
        </w:tc>
        <w:tc>
          <w:tcPr>
            <w:tcW w:w="989" w:type="dxa"/>
            <w:shd w:val="clear" w:color="auto" w:fill="auto"/>
            <w:vAlign w:val="center"/>
          </w:tcPr>
          <w:p w14:paraId="2694D43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Ναι</w:t>
            </w:r>
          </w:p>
        </w:tc>
        <w:tc>
          <w:tcPr>
            <w:tcW w:w="2150" w:type="dxa"/>
            <w:shd w:val="clear" w:color="auto" w:fill="auto"/>
            <w:vAlign w:val="center"/>
          </w:tcPr>
          <w:p w14:paraId="369F2CDC" w14:textId="35B9A088"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Γραμμή 317, ID 1.2.2.1.3</w:t>
            </w:r>
          </w:p>
        </w:tc>
      </w:tr>
      <w:tr w:rsidR="00B47B7D" w:rsidRPr="000B6B22" w14:paraId="166B5CF7" w14:textId="77777777" w:rsidTr="008A4CE5">
        <w:trPr>
          <w:jc w:val="center"/>
        </w:trPr>
        <w:tc>
          <w:tcPr>
            <w:tcW w:w="906" w:type="dxa"/>
            <w:vMerge/>
            <w:shd w:val="clear" w:color="auto" w:fill="auto"/>
            <w:vAlign w:val="center"/>
          </w:tcPr>
          <w:p w14:paraId="007BB85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55B7996"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415427C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48658F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110CEB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Όχι</w:t>
            </w:r>
          </w:p>
        </w:tc>
        <w:tc>
          <w:tcPr>
            <w:tcW w:w="2150" w:type="dxa"/>
            <w:shd w:val="clear" w:color="auto" w:fill="auto"/>
            <w:vAlign w:val="center"/>
          </w:tcPr>
          <w:p w14:paraId="3CD6C5B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35.4</w:t>
            </w:r>
          </w:p>
        </w:tc>
      </w:tr>
      <w:tr w:rsidR="00B47B7D" w:rsidRPr="000B6B22" w14:paraId="743D15B4" w14:textId="77777777" w:rsidTr="008A4CE5">
        <w:trPr>
          <w:trHeight w:val="454"/>
          <w:jc w:val="center"/>
        </w:trPr>
        <w:tc>
          <w:tcPr>
            <w:tcW w:w="906" w:type="dxa"/>
            <w:vMerge/>
            <w:shd w:val="clear" w:color="auto" w:fill="auto"/>
            <w:vAlign w:val="center"/>
          </w:tcPr>
          <w:p w14:paraId="2FDA29A7"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F7CAEC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4D4AE515" w14:textId="77777777" w:rsidR="00E145E1" w:rsidRPr="000B6B22" w:rsidRDefault="00E145E1" w:rsidP="009D4EFF">
            <w:pPr>
              <w:spacing w:before="0"/>
              <w:rPr>
                <w:rFonts w:ascii="Times New Roman" w:hAnsi="Times New Roman"/>
                <w:sz w:val="24"/>
              </w:rPr>
            </w:pPr>
            <w:r>
              <w:rPr>
                <w:rFonts w:ascii="Times New Roman" w:hAnsi="Times New Roman"/>
                <w:sz w:val="24"/>
              </w:rPr>
              <w:t># 35.4</w:t>
            </w:r>
          </w:p>
        </w:tc>
        <w:tc>
          <w:tcPr>
            <w:tcW w:w="2158" w:type="dxa"/>
            <w:vMerge w:val="restart"/>
            <w:shd w:val="clear" w:color="auto" w:fill="auto"/>
            <w:vAlign w:val="center"/>
          </w:tcPr>
          <w:p w14:paraId="4D434513" w14:textId="77777777" w:rsidR="00E145E1" w:rsidRPr="000B6B22" w:rsidRDefault="00E145E1" w:rsidP="009D4EFF">
            <w:pPr>
              <w:spacing w:before="0"/>
              <w:rPr>
                <w:rFonts w:ascii="Times New Roman" w:hAnsi="Times New Roman"/>
                <w:sz w:val="24"/>
              </w:rPr>
            </w:pPr>
            <w:r>
              <w:rPr>
                <w:rFonts w:ascii="Times New Roman" w:hAnsi="Times New Roman"/>
                <w:sz w:val="24"/>
              </w:rPr>
              <w:t>Εξασφαλίσεις με επιπέδου 2B τίτλους από τιτλοποίηση (στεγαστικά δάνεια ή δάνεια για την αγορά αυτοκινήτου)</w:t>
            </w:r>
          </w:p>
        </w:tc>
        <w:tc>
          <w:tcPr>
            <w:tcW w:w="989" w:type="dxa"/>
            <w:shd w:val="clear" w:color="auto" w:fill="auto"/>
            <w:vAlign w:val="center"/>
          </w:tcPr>
          <w:p w14:paraId="28BDB9B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Ναι</w:t>
            </w:r>
          </w:p>
        </w:tc>
        <w:tc>
          <w:tcPr>
            <w:tcW w:w="2150" w:type="dxa"/>
            <w:shd w:val="clear" w:color="auto" w:fill="auto"/>
            <w:vAlign w:val="center"/>
          </w:tcPr>
          <w:p w14:paraId="1189F307" w14:textId="2D5057A6"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Γραμμή 321, ID 1.2.2.1.4</w:t>
            </w:r>
          </w:p>
        </w:tc>
      </w:tr>
      <w:tr w:rsidR="00B47B7D" w:rsidRPr="000B6B22" w14:paraId="1701D6F7" w14:textId="77777777" w:rsidTr="008A4CE5">
        <w:trPr>
          <w:jc w:val="center"/>
        </w:trPr>
        <w:tc>
          <w:tcPr>
            <w:tcW w:w="906" w:type="dxa"/>
            <w:vMerge/>
            <w:shd w:val="clear" w:color="auto" w:fill="auto"/>
            <w:vAlign w:val="center"/>
          </w:tcPr>
          <w:p w14:paraId="6676832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B91D384"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46C6E2E"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ECBC50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A52BA7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Όχι</w:t>
            </w:r>
          </w:p>
        </w:tc>
        <w:tc>
          <w:tcPr>
            <w:tcW w:w="2150" w:type="dxa"/>
            <w:shd w:val="clear" w:color="auto" w:fill="auto"/>
            <w:vAlign w:val="center"/>
          </w:tcPr>
          <w:p w14:paraId="62C7688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35.5</w:t>
            </w:r>
          </w:p>
        </w:tc>
      </w:tr>
      <w:tr w:rsidR="00B47B7D" w:rsidRPr="000B6B22" w14:paraId="4CB6FD39" w14:textId="77777777" w:rsidTr="008A4CE5">
        <w:trPr>
          <w:trHeight w:val="340"/>
          <w:jc w:val="center"/>
        </w:trPr>
        <w:tc>
          <w:tcPr>
            <w:tcW w:w="906" w:type="dxa"/>
            <w:vMerge/>
            <w:shd w:val="clear" w:color="auto" w:fill="auto"/>
            <w:vAlign w:val="center"/>
          </w:tcPr>
          <w:p w14:paraId="3CA085FE"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54126F4"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5F805BFE" w14:textId="77777777" w:rsidR="00E145E1" w:rsidRPr="000B6B22" w:rsidRDefault="00E145E1" w:rsidP="009D4EFF">
            <w:pPr>
              <w:spacing w:before="0"/>
              <w:rPr>
                <w:rFonts w:ascii="Times New Roman" w:hAnsi="Times New Roman"/>
                <w:sz w:val="24"/>
              </w:rPr>
            </w:pPr>
            <w:r>
              <w:rPr>
                <w:rFonts w:ascii="Times New Roman" w:hAnsi="Times New Roman"/>
                <w:sz w:val="24"/>
              </w:rPr>
              <w:t># 35.5</w:t>
            </w:r>
          </w:p>
        </w:tc>
        <w:tc>
          <w:tcPr>
            <w:tcW w:w="2158" w:type="dxa"/>
            <w:vMerge w:val="restart"/>
            <w:shd w:val="clear" w:color="auto" w:fill="auto"/>
            <w:vAlign w:val="center"/>
          </w:tcPr>
          <w:p w14:paraId="5A561B21" w14:textId="77777777" w:rsidR="00E145E1" w:rsidRPr="000B6B22" w:rsidRDefault="00E145E1" w:rsidP="009D4EFF">
            <w:pPr>
              <w:spacing w:before="0"/>
              <w:rPr>
                <w:rFonts w:ascii="Times New Roman" w:hAnsi="Times New Roman"/>
                <w:sz w:val="24"/>
              </w:rPr>
            </w:pPr>
            <w:r>
              <w:rPr>
                <w:rFonts w:ascii="Times New Roman" w:hAnsi="Times New Roman"/>
                <w:sz w:val="24"/>
              </w:rPr>
              <w:t>Εξασφαλίσεις με υψηλής ποιότητας καλυμμένα ομόλογα επιπέδου 2Β</w:t>
            </w:r>
          </w:p>
        </w:tc>
        <w:tc>
          <w:tcPr>
            <w:tcW w:w="989" w:type="dxa"/>
            <w:shd w:val="clear" w:color="auto" w:fill="auto"/>
            <w:vAlign w:val="center"/>
          </w:tcPr>
          <w:p w14:paraId="345BA47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Ναι</w:t>
            </w:r>
          </w:p>
        </w:tc>
        <w:tc>
          <w:tcPr>
            <w:tcW w:w="2150" w:type="dxa"/>
            <w:shd w:val="clear" w:color="auto" w:fill="auto"/>
            <w:vAlign w:val="center"/>
          </w:tcPr>
          <w:p w14:paraId="3AC25801" w14:textId="7E3F57C3"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Γραμμή 325, ID 1.2.2.1.5</w:t>
            </w:r>
          </w:p>
        </w:tc>
      </w:tr>
      <w:tr w:rsidR="00B47B7D" w:rsidRPr="000B6B22" w14:paraId="2EA4D785" w14:textId="77777777" w:rsidTr="008A4CE5">
        <w:trPr>
          <w:jc w:val="center"/>
        </w:trPr>
        <w:tc>
          <w:tcPr>
            <w:tcW w:w="906" w:type="dxa"/>
            <w:vMerge/>
            <w:shd w:val="clear" w:color="auto" w:fill="auto"/>
            <w:vAlign w:val="center"/>
          </w:tcPr>
          <w:p w14:paraId="231D4BE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5F58861"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77DB23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1C2A3AE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B216FE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Όχι</w:t>
            </w:r>
          </w:p>
        </w:tc>
        <w:tc>
          <w:tcPr>
            <w:tcW w:w="2150" w:type="dxa"/>
            <w:shd w:val="clear" w:color="auto" w:fill="auto"/>
            <w:vAlign w:val="center"/>
          </w:tcPr>
          <w:p w14:paraId="6CCDCFA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35.6</w:t>
            </w:r>
          </w:p>
        </w:tc>
      </w:tr>
      <w:tr w:rsidR="00B47B7D" w:rsidRPr="000B6B22" w14:paraId="65AEB410" w14:textId="77777777" w:rsidTr="008A4CE5">
        <w:trPr>
          <w:trHeight w:val="397"/>
          <w:jc w:val="center"/>
        </w:trPr>
        <w:tc>
          <w:tcPr>
            <w:tcW w:w="906" w:type="dxa"/>
            <w:vMerge/>
            <w:shd w:val="clear" w:color="auto" w:fill="auto"/>
            <w:vAlign w:val="center"/>
          </w:tcPr>
          <w:p w14:paraId="04ECE1A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E99C9C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CDF2978" w14:textId="77777777" w:rsidR="00E145E1" w:rsidRPr="000B6B22" w:rsidRDefault="00E145E1" w:rsidP="009D4EFF">
            <w:pPr>
              <w:spacing w:before="0"/>
              <w:rPr>
                <w:rFonts w:ascii="Times New Roman" w:hAnsi="Times New Roman"/>
                <w:sz w:val="24"/>
              </w:rPr>
            </w:pPr>
            <w:r>
              <w:rPr>
                <w:rFonts w:ascii="Times New Roman" w:hAnsi="Times New Roman"/>
                <w:sz w:val="24"/>
              </w:rPr>
              <w:t># 35.6</w:t>
            </w:r>
          </w:p>
        </w:tc>
        <w:tc>
          <w:tcPr>
            <w:tcW w:w="2158" w:type="dxa"/>
            <w:vMerge w:val="restart"/>
            <w:shd w:val="clear" w:color="auto" w:fill="auto"/>
            <w:vAlign w:val="center"/>
          </w:tcPr>
          <w:p w14:paraId="5846A753" w14:textId="77777777" w:rsidR="00E145E1" w:rsidRPr="000B6B22" w:rsidRDefault="00E145E1" w:rsidP="009D4EFF">
            <w:pPr>
              <w:spacing w:before="0"/>
              <w:rPr>
                <w:rFonts w:ascii="Times New Roman" w:hAnsi="Times New Roman"/>
                <w:sz w:val="24"/>
              </w:rPr>
            </w:pPr>
            <w:r>
              <w:rPr>
                <w:rFonts w:ascii="Times New Roman" w:hAnsi="Times New Roman"/>
                <w:sz w:val="24"/>
              </w:rPr>
              <w:t>Εξασφαλίσεις με επιπέδου 2B τίτλους από τιτλοποίηση (εμπορικά δάνεια ή δάνεια σε ιδιώτες)</w:t>
            </w:r>
          </w:p>
        </w:tc>
        <w:tc>
          <w:tcPr>
            <w:tcW w:w="989" w:type="dxa"/>
            <w:shd w:val="clear" w:color="auto" w:fill="auto"/>
            <w:vAlign w:val="center"/>
          </w:tcPr>
          <w:p w14:paraId="298E06F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Ναι</w:t>
            </w:r>
          </w:p>
        </w:tc>
        <w:tc>
          <w:tcPr>
            <w:tcW w:w="2150" w:type="dxa"/>
            <w:shd w:val="clear" w:color="auto" w:fill="auto"/>
            <w:vAlign w:val="center"/>
          </w:tcPr>
          <w:p w14:paraId="48AE66E8" w14:textId="5F16D996"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Γραμμή 329, ID 1.2.2.1.6</w:t>
            </w:r>
          </w:p>
        </w:tc>
      </w:tr>
      <w:tr w:rsidR="00B47B7D" w:rsidRPr="000B6B22" w14:paraId="168D21F3" w14:textId="77777777" w:rsidTr="008A4CE5">
        <w:trPr>
          <w:jc w:val="center"/>
        </w:trPr>
        <w:tc>
          <w:tcPr>
            <w:tcW w:w="906" w:type="dxa"/>
            <w:vMerge/>
            <w:shd w:val="clear" w:color="auto" w:fill="auto"/>
            <w:vAlign w:val="center"/>
          </w:tcPr>
          <w:p w14:paraId="7A3EA53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0556CA0"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83505C5"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52B59F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B282FD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Όχι</w:t>
            </w:r>
          </w:p>
        </w:tc>
        <w:tc>
          <w:tcPr>
            <w:tcW w:w="2150" w:type="dxa"/>
            <w:shd w:val="clear" w:color="auto" w:fill="auto"/>
            <w:vAlign w:val="center"/>
          </w:tcPr>
          <w:p w14:paraId="1FBFA797" w14:textId="0AA6322D"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Γραμμή 333, ID 1.2.2.1.7</w:t>
            </w:r>
          </w:p>
        </w:tc>
      </w:tr>
      <w:tr w:rsidR="00B47B7D" w:rsidRPr="000B6B22" w14:paraId="74166CD9" w14:textId="77777777" w:rsidTr="008A4CE5">
        <w:trPr>
          <w:trHeight w:val="397"/>
          <w:jc w:val="center"/>
        </w:trPr>
        <w:tc>
          <w:tcPr>
            <w:tcW w:w="906" w:type="dxa"/>
            <w:vMerge w:val="restart"/>
            <w:shd w:val="clear" w:color="auto" w:fill="auto"/>
            <w:vAlign w:val="center"/>
          </w:tcPr>
          <w:p w14:paraId="3F5C35CD" w14:textId="77777777" w:rsidR="00E145E1" w:rsidRPr="000B6B22" w:rsidRDefault="00E145E1" w:rsidP="009D4EFF">
            <w:pPr>
              <w:spacing w:before="0"/>
              <w:rPr>
                <w:rFonts w:ascii="Times New Roman" w:hAnsi="Times New Roman"/>
                <w:sz w:val="24"/>
              </w:rPr>
            </w:pPr>
            <w:r>
              <w:rPr>
                <w:rFonts w:ascii="Times New Roman" w:hAnsi="Times New Roman"/>
                <w:sz w:val="24"/>
              </w:rPr>
              <w:t>36</w:t>
            </w:r>
          </w:p>
        </w:tc>
        <w:tc>
          <w:tcPr>
            <w:tcW w:w="2706" w:type="dxa"/>
            <w:vMerge w:val="restart"/>
            <w:shd w:val="clear" w:color="auto" w:fill="auto"/>
            <w:vAlign w:val="center"/>
          </w:tcPr>
          <w:p w14:paraId="4F88E119" w14:textId="77777777" w:rsidR="00E145E1" w:rsidRPr="000B6B22" w:rsidRDefault="00E145E1" w:rsidP="009D4EFF">
            <w:pPr>
              <w:spacing w:before="0"/>
              <w:rPr>
                <w:rFonts w:ascii="Times New Roman" w:hAnsi="Times New Roman"/>
                <w:sz w:val="24"/>
              </w:rPr>
            </w:pPr>
            <w:r>
              <w:rPr>
                <w:rFonts w:ascii="Times New Roman" w:hAnsi="Times New Roman"/>
                <w:sz w:val="24"/>
              </w:rPr>
              <w:t>Εξασφαλίσεις που δεν χαρακτηρίζονται ως ρευστά στοιχεία ενεργητικού (άρθρο 32 παράγραφος 3 στοιχείο β))</w:t>
            </w:r>
          </w:p>
        </w:tc>
        <w:tc>
          <w:tcPr>
            <w:tcW w:w="724" w:type="dxa"/>
            <w:vMerge w:val="restart"/>
            <w:shd w:val="clear" w:color="auto" w:fill="auto"/>
            <w:vAlign w:val="center"/>
          </w:tcPr>
          <w:p w14:paraId="51305DF0" w14:textId="77777777" w:rsidR="00E145E1" w:rsidRPr="000B6B22" w:rsidRDefault="00E145E1" w:rsidP="009D4EFF">
            <w:pPr>
              <w:spacing w:before="0"/>
              <w:rPr>
                <w:rFonts w:ascii="Times New Roman" w:hAnsi="Times New Roman"/>
                <w:sz w:val="24"/>
              </w:rPr>
            </w:pPr>
            <w:r>
              <w:rPr>
                <w:rFonts w:ascii="Times New Roman" w:hAnsi="Times New Roman"/>
                <w:sz w:val="24"/>
              </w:rPr>
              <w:t># 36.1</w:t>
            </w:r>
          </w:p>
        </w:tc>
        <w:tc>
          <w:tcPr>
            <w:tcW w:w="2158" w:type="dxa"/>
            <w:vMerge w:val="restart"/>
            <w:shd w:val="clear" w:color="auto" w:fill="auto"/>
            <w:vAlign w:val="center"/>
          </w:tcPr>
          <w:p w14:paraId="4790A291" w14:textId="77777777" w:rsidR="00E145E1" w:rsidRPr="000B6B22" w:rsidRDefault="00E145E1" w:rsidP="009D4EFF">
            <w:pPr>
              <w:spacing w:before="0"/>
              <w:rPr>
                <w:rFonts w:ascii="Times New Roman" w:hAnsi="Times New Roman"/>
                <w:sz w:val="24"/>
              </w:rPr>
            </w:pPr>
            <w:r>
              <w:rPr>
                <w:rFonts w:ascii="Times New Roman" w:hAnsi="Times New Roman"/>
                <w:sz w:val="24"/>
              </w:rPr>
              <w:t>δάνεια περιθωρίου: οι εξασφαλίσεις είναι μη ρευστά στοιχεία</w:t>
            </w:r>
          </w:p>
        </w:tc>
        <w:tc>
          <w:tcPr>
            <w:tcW w:w="989" w:type="dxa"/>
            <w:shd w:val="clear" w:color="auto" w:fill="auto"/>
            <w:vAlign w:val="center"/>
          </w:tcPr>
          <w:p w14:paraId="12B9817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Ναι</w:t>
            </w:r>
          </w:p>
        </w:tc>
        <w:tc>
          <w:tcPr>
            <w:tcW w:w="2150" w:type="dxa"/>
            <w:shd w:val="clear" w:color="auto" w:fill="auto"/>
            <w:vAlign w:val="center"/>
          </w:tcPr>
          <w:p w14:paraId="71A8CEE7" w14:textId="24DFA44B"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Γραμμή 341, ID 1.2.2.3.1.</w:t>
            </w:r>
          </w:p>
        </w:tc>
      </w:tr>
      <w:tr w:rsidR="00B47B7D" w:rsidRPr="000B6B22" w14:paraId="1002EC84" w14:textId="77777777" w:rsidTr="008A4CE5">
        <w:trPr>
          <w:jc w:val="center"/>
        </w:trPr>
        <w:tc>
          <w:tcPr>
            <w:tcW w:w="906" w:type="dxa"/>
            <w:vMerge/>
            <w:shd w:val="clear" w:color="auto" w:fill="auto"/>
            <w:vAlign w:val="center"/>
          </w:tcPr>
          <w:p w14:paraId="1B5AC7A1"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4A93CA4"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B88083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CAF048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14CDECC"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Όχι</w:t>
            </w:r>
          </w:p>
        </w:tc>
        <w:tc>
          <w:tcPr>
            <w:tcW w:w="2150" w:type="dxa"/>
            <w:shd w:val="clear" w:color="auto" w:fill="auto"/>
            <w:vAlign w:val="center"/>
          </w:tcPr>
          <w:p w14:paraId="3D0BFD5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36.2</w:t>
            </w:r>
          </w:p>
        </w:tc>
      </w:tr>
      <w:tr w:rsidR="00B47B7D" w:rsidRPr="000B6B22" w14:paraId="00773BDA" w14:textId="77777777" w:rsidTr="008A4CE5">
        <w:trPr>
          <w:trHeight w:val="340"/>
          <w:jc w:val="center"/>
        </w:trPr>
        <w:tc>
          <w:tcPr>
            <w:tcW w:w="906" w:type="dxa"/>
            <w:vMerge/>
            <w:shd w:val="clear" w:color="auto" w:fill="auto"/>
            <w:vAlign w:val="center"/>
          </w:tcPr>
          <w:p w14:paraId="5B384BB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9BE4597"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380609D" w14:textId="77777777" w:rsidR="00E145E1" w:rsidRPr="000B6B22" w:rsidRDefault="00E145E1" w:rsidP="009D4EFF">
            <w:pPr>
              <w:spacing w:before="0"/>
              <w:rPr>
                <w:rFonts w:ascii="Times New Roman" w:hAnsi="Times New Roman"/>
                <w:sz w:val="24"/>
              </w:rPr>
            </w:pPr>
            <w:r>
              <w:rPr>
                <w:rFonts w:ascii="Times New Roman" w:hAnsi="Times New Roman"/>
                <w:sz w:val="24"/>
              </w:rPr>
              <w:t># 36.2</w:t>
            </w:r>
          </w:p>
        </w:tc>
        <w:tc>
          <w:tcPr>
            <w:tcW w:w="2158" w:type="dxa"/>
            <w:vMerge w:val="restart"/>
            <w:shd w:val="clear" w:color="auto" w:fill="auto"/>
            <w:vAlign w:val="center"/>
          </w:tcPr>
          <w:p w14:paraId="5F0727B2" w14:textId="77777777" w:rsidR="00E145E1" w:rsidRPr="000B6B22" w:rsidRDefault="00E145E1" w:rsidP="009D4EFF">
            <w:pPr>
              <w:spacing w:before="0"/>
              <w:rPr>
                <w:rFonts w:ascii="Times New Roman" w:hAnsi="Times New Roman"/>
                <w:sz w:val="24"/>
              </w:rPr>
            </w:pPr>
            <w:r>
              <w:rPr>
                <w:rFonts w:ascii="Times New Roman" w:hAnsi="Times New Roman"/>
                <w:sz w:val="24"/>
              </w:rPr>
              <w:t>οι εξασφαλίσεις είναι μη ρευστά ίδια κεφάλαια</w:t>
            </w:r>
          </w:p>
        </w:tc>
        <w:tc>
          <w:tcPr>
            <w:tcW w:w="989" w:type="dxa"/>
            <w:shd w:val="clear" w:color="auto" w:fill="auto"/>
            <w:vAlign w:val="center"/>
          </w:tcPr>
          <w:p w14:paraId="308ACE8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Ναι</w:t>
            </w:r>
          </w:p>
        </w:tc>
        <w:tc>
          <w:tcPr>
            <w:tcW w:w="2150" w:type="dxa"/>
            <w:shd w:val="clear" w:color="auto" w:fill="auto"/>
            <w:vAlign w:val="center"/>
          </w:tcPr>
          <w:p w14:paraId="5820E17C" w14:textId="32AE90B6"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Γραμμή 343, ID 1.2.2.3.2.</w:t>
            </w:r>
          </w:p>
        </w:tc>
      </w:tr>
      <w:tr w:rsidR="00B47B7D" w:rsidRPr="000B6B22" w14:paraId="69477F95" w14:textId="77777777" w:rsidTr="008A4CE5">
        <w:trPr>
          <w:jc w:val="center"/>
        </w:trPr>
        <w:tc>
          <w:tcPr>
            <w:tcW w:w="906" w:type="dxa"/>
            <w:vMerge/>
            <w:shd w:val="clear" w:color="auto" w:fill="auto"/>
            <w:vAlign w:val="center"/>
          </w:tcPr>
          <w:p w14:paraId="793FB99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CBFB3D2"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016235C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FB555B4"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AA5A86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Όχι</w:t>
            </w:r>
          </w:p>
        </w:tc>
        <w:tc>
          <w:tcPr>
            <w:tcW w:w="2150" w:type="dxa"/>
            <w:shd w:val="clear" w:color="auto" w:fill="auto"/>
            <w:vAlign w:val="center"/>
          </w:tcPr>
          <w:p w14:paraId="2039ED0B" w14:textId="6DF26A2F"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Γραμμή 345, ID 1.2.2.3.3.</w:t>
            </w:r>
          </w:p>
        </w:tc>
      </w:tr>
    </w:tbl>
    <w:p w14:paraId="4957F280" w14:textId="7888ED08" w:rsidR="007453EC" w:rsidRPr="000B6B22" w:rsidRDefault="0062009E">
      <w:pPr>
        <w:keepNext/>
        <w:spacing w:before="0"/>
        <w:outlineLvl w:val="1"/>
        <w:rPr>
          <w:rFonts w:ascii="Times New Roman" w:hAnsi="Times New Roman"/>
          <w:sz w:val="24"/>
        </w:rPr>
      </w:pPr>
      <w:r>
        <w:rPr>
          <w:rFonts w:ascii="Times New Roman" w:hAnsi="Times New Roman"/>
          <w:sz w:val="24"/>
        </w:rPr>
        <w:t>1.4.2.</w:t>
      </w:r>
      <w:r>
        <w:tab/>
      </w:r>
      <w:r>
        <w:rPr>
          <w:rFonts w:ascii="Times New Roman" w:hAnsi="Times New Roman"/>
          <w:sz w:val="24"/>
        </w:rPr>
        <w:t>Διάγραμμα αποφάσεων σχετικά με τις στήλες του υποδείγματος C 74.00 του παραρτήματος XXIV</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B47B7D" w:rsidRPr="000B6B22" w14:paraId="68383171" w14:textId="77777777" w:rsidTr="00454544">
        <w:trPr>
          <w:jc w:val="center"/>
        </w:trPr>
        <w:tc>
          <w:tcPr>
            <w:tcW w:w="529" w:type="dxa"/>
            <w:shd w:val="clear" w:color="auto" w:fill="auto"/>
            <w:vAlign w:val="center"/>
          </w:tcPr>
          <w:p w14:paraId="4DFEFDA7" w14:textId="77777777" w:rsidR="007453EC" w:rsidRPr="000B6B22" w:rsidRDefault="007453EC" w:rsidP="009D4EFF">
            <w:pPr>
              <w:widowControl w:val="0"/>
              <w:spacing w:before="0"/>
              <w:ind w:left="7"/>
              <w:rPr>
                <w:rFonts w:ascii="Times New Roman" w:hAnsi="Times New Roman"/>
                <w:b/>
                <w:sz w:val="24"/>
              </w:rPr>
            </w:pPr>
            <w:r>
              <w:rPr>
                <w:rFonts w:ascii="Times New Roman" w:hAnsi="Times New Roman"/>
                <w:b/>
                <w:sz w:val="24"/>
              </w:rPr>
              <w:t>#</w:t>
            </w:r>
          </w:p>
        </w:tc>
        <w:tc>
          <w:tcPr>
            <w:tcW w:w="5550" w:type="dxa"/>
            <w:gridSpan w:val="3"/>
            <w:shd w:val="clear" w:color="auto" w:fill="auto"/>
            <w:vAlign w:val="center"/>
          </w:tcPr>
          <w:p w14:paraId="4A55D1C0" w14:textId="77777777" w:rsidR="007453EC" w:rsidRPr="000B6B22" w:rsidRDefault="007453EC" w:rsidP="009D4EFF">
            <w:pPr>
              <w:widowControl w:val="0"/>
              <w:spacing w:before="0"/>
              <w:ind w:left="141"/>
              <w:rPr>
                <w:rFonts w:ascii="Times New Roman" w:hAnsi="Times New Roman"/>
                <w:b/>
                <w:sz w:val="24"/>
              </w:rPr>
            </w:pPr>
            <w:r>
              <w:rPr>
                <w:rFonts w:ascii="Times New Roman" w:hAnsi="Times New Roman"/>
                <w:b/>
                <w:sz w:val="24"/>
              </w:rPr>
              <w:t>Στοιχείο</w:t>
            </w:r>
          </w:p>
        </w:tc>
        <w:tc>
          <w:tcPr>
            <w:tcW w:w="1400" w:type="dxa"/>
            <w:shd w:val="clear" w:color="auto" w:fill="auto"/>
            <w:vAlign w:val="center"/>
          </w:tcPr>
          <w:p w14:paraId="595C83AC" w14:textId="77777777" w:rsidR="007453EC" w:rsidRPr="000B6B22" w:rsidRDefault="007453EC" w:rsidP="009D4EFF">
            <w:pPr>
              <w:widowControl w:val="0"/>
              <w:spacing w:before="0"/>
              <w:ind w:left="267"/>
              <w:rPr>
                <w:rFonts w:ascii="Times New Roman" w:hAnsi="Times New Roman"/>
                <w:b/>
                <w:sz w:val="24"/>
              </w:rPr>
            </w:pPr>
            <w:r>
              <w:rPr>
                <w:rFonts w:ascii="Times New Roman" w:hAnsi="Times New Roman"/>
                <w:b/>
                <w:sz w:val="24"/>
              </w:rPr>
              <w:t>Απόφαση</w:t>
            </w:r>
          </w:p>
        </w:tc>
        <w:tc>
          <w:tcPr>
            <w:tcW w:w="2127" w:type="dxa"/>
            <w:shd w:val="clear" w:color="auto" w:fill="auto"/>
            <w:vAlign w:val="center"/>
          </w:tcPr>
          <w:p w14:paraId="4D343DEB" w14:textId="77777777" w:rsidR="007453EC" w:rsidRPr="000B6B22" w:rsidRDefault="007453EC" w:rsidP="009D4EFF">
            <w:pPr>
              <w:widowControl w:val="0"/>
              <w:spacing w:before="0"/>
              <w:rPr>
                <w:rFonts w:ascii="Times New Roman" w:hAnsi="Times New Roman"/>
                <w:b/>
                <w:sz w:val="24"/>
              </w:rPr>
            </w:pPr>
            <w:r>
              <w:rPr>
                <w:rFonts w:ascii="Times New Roman" w:hAnsi="Times New Roman"/>
                <w:b/>
                <w:sz w:val="24"/>
              </w:rPr>
              <w:t>Υποβολή αναφοράς</w:t>
            </w:r>
          </w:p>
        </w:tc>
      </w:tr>
      <w:tr w:rsidR="00B47B7D" w:rsidRPr="000B6B22" w14:paraId="5420ECF1" w14:textId="77777777" w:rsidTr="00454544">
        <w:trPr>
          <w:jc w:val="center"/>
        </w:trPr>
        <w:tc>
          <w:tcPr>
            <w:tcW w:w="529" w:type="dxa"/>
            <w:vMerge w:val="restart"/>
            <w:shd w:val="clear" w:color="auto" w:fill="auto"/>
            <w:vAlign w:val="center"/>
          </w:tcPr>
          <w:p w14:paraId="4ECDAA6B" w14:textId="77777777" w:rsidR="007453EC" w:rsidRPr="000B6B22" w:rsidRDefault="007453EC" w:rsidP="009D4EFF">
            <w:pPr>
              <w:spacing w:before="0"/>
              <w:rPr>
                <w:rFonts w:ascii="Times New Roman" w:hAnsi="Times New Roman"/>
                <w:sz w:val="24"/>
              </w:rPr>
            </w:pPr>
            <w:r>
              <w:rPr>
                <w:rFonts w:ascii="Times New Roman" w:hAnsi="Times New Roman"/>
                <w:sz w:val="24"/>
              </w:rPr>
              <w:t>1</w:t>
            </w:r>
          </w:p>
        </w:tc>
        <w:tc>
          <w:tcPr>
            <w:tcW w:w="5550" w:type="dxa"/>
            <w:gridSpan w:val="3"/>
            <w:vMerge w:val="restart"/>
            <w:shd w:val="clear" w:color="auto" w:fill="auto"/>
            <w:vAlign w:val="center"/>
          </w:tcPr>
          <w:p w14:paraId="430FBA11" w14:textId="37FA33D5" w:rsidR="007453EC" w:rsidRPr="000B6B22" w:rsidRDefault="007453EC">
            <w:pPr>
              <w:spacing w:before="0"/>
              <w:rPr>
                <w:rFonts w:ascii="Times New Roman" w:hAnsi="Times New Roman"/>
                <w:sz w:val="24"/>
              </w:rPr>
            </w:pPr>
            <w:r>
              <w:rPr>
                <w:rFonts w:ascii="Times New Roman" w:hAnsi="Times New Roman"/>
                <w:sz w:val="24"/>
              </w:rPr>
              <w:t>Εισροές που αναφέρονται στις γραμμές 0010-0430 του υποδείγματος C 74.00 του παραρτήματος XXIV σύμφωνα με τα άρθρα 32, 33 και 34 και σύμφωνα με την ταξινόμηση που ορίζεται στο τμήμα 1 («Διάγραμμα αποφάσεων σχετικά με τις γραμμές του υποδείγματος C 74.00»)</w:t>
            </w:r>
          </w:p>
        </w:tc>
        <w:tc>
          <w:tcPr>
            <w:tcW w:w="1400" w:type="dxa"/>
            <w:shd w:val="clear" w:color="auto" w:fill="auto"/>
            <w:vAlign w:val="center"/>
          </w:tcPr>
          <w:p w14:paraId="4D61E6EE" w14:textId="77777777" w:rsidR="007453EC" w:rsidRPr="000B6B22" w:rsidRDefault="007453EC" w:rsidP="009D4EFF">
            <w:pPr>
              <w:spacing w:before="0"/>
              <w:rPr>
                <w:rFonts w:ascii="Times New Roman" w:hAnsi="Times New Roman"/>
                <w:sz w:val="24"/>
              </w:rPr>
            </w:pPr>
            <w:r>
              <w:rPr>
                <w:rFonts w:ascii="Times New Roman" w:hAnsi="Times New Roman"/>
                <w:sz w:val="24"/>
              </w:rPr>
              <w:t>Όχι</w:t>
            </w:r>
          </w:p>
        </w:tc>
        <w:tc>
          <w:tcPr>
            <w:tcW w:w="2127" w:type="dxa"/>
            <w:shd w:val="clear" w:color="auto" w:fill="auto"/>
            <w:vAlign w:val="center"/>
          </w:tcPr>
          <w:p w14:paraId="3FE5209D" w14:textId="77777777" w:rsidR="007453EC" w:rsidRPr="000B6B22" w:rsidRDefault="007453EC" w:rsidP="009D4EFF">
            <w:pPr>
              <w:spacing w:before="0"/>
              <w:rPr>
                <w:rFonts w:ascii="Times New Roman" w:hAnsi="Times New Roman"/>
                <w:sz w:val="24"/>
              </w:rPr>
            </w:pPr>
            <w:r>
              <w:rPr>
                <w:rFonts w:ascii="Times New Roman" w:hAnsi="Times New Roman"/>
                <w:sz w:val="24"/>
              </w:rPr>
              <w:t>Δεν υποβάλλεται αναφορά</w:t>
            </w:r>
          </w:p>
        </w:tc>
      </w:tr>
      <w:tr w:rsidR="00B47B7D" w:rsidRPr="000B6B22" w14:paraId="3A8CBF44" w14:textId="77777777" w:rsidTr="00454544">
        <w:trPr>
          <w:jc w:val="center"/>
        </w:trPr>
        <w:tc>
          <w:tcPr>
            <w:tcW w:w="529" w:type="dxa"/>
            <w:vMerge/>
            <w:shd w:val="clear" w:color="auto" w:fill="auto"/>
            <w:vAlign w:val="center"/>
          </w:tcPr>
          <w:p w14:paraId="0E2EC573"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335995D5"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ED5EA0B"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Ναι</w:t>
            </w:r>
          </w:p>
        </w:tc>
        <w:tc>
          <w:tcPr>
            <w:tcW w:w="2127" w:type="dxa"/>
            <w:shd w:val="clear" w:color="auto" w:fill="auto"/>
            <w:vAlign w:val="center"/>
          </w:tcPr>
          <w:p w14:paraId="3F805D6C"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2</w:t>
            </w:r>
          </w:p>
        </w:tc>
      </w:tr>
      <w:tr w:rsidR="00B47B7D" w:rsidRPr="000B6B22" w14:paraId="1BA6CB15" w14:textId="77777777" w:rsidTr="00454544">
        <w:trPr>
          <w:jc w:val="center"/>
        </w:trPr>
        <w:tc>
          <w:tcPr>
            <w:tcW w:w="529" w:type="dxa"/>
            <w:vMerge w:val="restart"/>
            <w:shd w:val="clear" w:color="auto" w:fill="auto"/>
            <w:vAlign w:val="center"/>
          </w:tcPr>
          <w:p w14:paraId="44927509" w14:textId="77777777" w:rsidR="007453EC" w:rsidRPr="000B6B22" w:rsidRDefault="007453EC" w:rsidP="009D4EFF">
            <w:pPr>
              <w:spacing w:before="0"/>
              <w:rPr>
                <w:rFonts w:ascii="Times New Roman" w:hAnsi="Times New Roman"/>
                <w:sz w:val="24"/>
              </w:rPr>
            </w:pPr>
            <w:r>
              <w:rPr>
                <w:rFonts w:ascii="Times New Roman" w:hAnsi="Times New Roman"/>
                <w:sz w:val="24"/>
              </w:rPr>
              <w:lastRenderedPageBreak/>
              <w:t>2</w:t>
            </w:r>
          </w:p>
        </w:tc>
        <w:tc>
          <w:tcPr>
            <w:tcW w:w="5550" w:type="dxa"/>
            <w:gridSpan w:val="3"/>
            <w:vMerge w:val="restart"/>
            <w:shd w:val="clear" w:color="auto" w:fill="auto"/>
            <w:vAlign w:val="center"/>
          </w:tcPr>
          <w:p w14:paraId="41A0B23C" w14:textId="77777777" w:rsidR="007453EC" w:rsidRPr="000B6B22" w:rsidRDefault="007453EC">
            <w:pPr>
              <w:spacing w:before="0"/>
              <w:rPr>
                <w:rFonts w:ascii="Times New Roman" w:hAnsi="Times New Roman"/>
                <w:sz w:val="24"/>
              </w:rPr>
            </w:pPr>
            <w:r>
              <w:rPr>
                <w:rFonts w:ascii="Times New Roman" w:hAnsi="Times New Roman"/>
                <w:sz w:val="24"/>
              </w:rPr>
              <w:t>Εισροές από εξασφαλισμένες πιστοδοτήσεις και από συναλλαγές με όρους κεφαλαιαγοράς, εξαιρουμένων των παραγώγων (άρθρο 32 παράγραφος 3 στοιχεία β) - γ) και ε) - στ))</w:t>
            </w:r>
          </w:p>
        </w:tc>
        <w:tc>
          <w:tcPr>
            <w:tcW w:w="1400" w:type="dxa"/>
            <w:shd w:val="clear" w:color="auto" w:fill="auto"/>
            <w:vAlign w:val="center"/>
          </w:tcPr>
          <w:p w14:paraId="4CE28B14" w14:textId="77777777" w:rsidR="007453EC" w:rsidRPr="000B6B22" w:rsidRDefault="007453EC" w:rsidP="009D4EFF">
            <w:pPr>
              <w:spacing w:before="0"/>
              <w:rPr>
                <w:rFonts w:ascii="Times New Roman" w:hAnsi="Times New Roman"/>
                <w:sz w:val="24"/>
              </w:rPr>
            </w:pPr>
            <w:r>
              <w:rPr>
                <w:rFonts w:ascii="Times New Roman" w:hAnsi="Times New Roman"/>
                <w:sz w:val="24"/>
              </w:rPr>
              <w:t>Ναι</w:t>
            </w:r>
          </w:p>
        </w:tc>
        <w:tc>
          <w:tcPr>
            <w:tcW w:w="2127" w:type="dxa"/>
            <w:shd w:val="clear" w:color="auto" w:fill="auto"/>
            <w:vAlign w:val="center"/>
          </w:tcPr>
          <w:p w14:paraId="29FE4B98" w14:textId="77777777" w:rsidR="007453EC" w:rsidRPr="000B6B22" w:rsidRDefault="007453EC" w:rsidP="009D4EFF">
            <w:pPr>
              <w:spacing w:before="0"/>
              <w:rPr>
                <w:rFonts w:ascii="Times New Roman" w:hAnsi="Times New Roman"/>
                <w:sz w:val="24"/>
              </w:rPr>
            </w:pPr>
            <w:r>
              <w:rPr>
                <w:rFonts w:ascii="Times New Roman" w:hAnsi="Times New Roman"/>
                <w:sz w:val="24"/>
              </w:rPr>
              <w:t># 11</w:t>
            </w:r>
          </w:p>
        </w:tc>
      </w:tr>
      <w:tr w:rsidR="00B47B7D" w:rsidRPr="000B6B22" w14:paraId="6CBD3916" w14:textId="77777777" w:rsidTr="00454544">
        <w:trPr>
          <w:jc w:val="center"/>
        </w:trPr>
        <w:tc>
          <w:tcPr>
            <w:tcW w:w="529" w:type="dxa"/>
            <w:vMerge/>
            <w:shd w:val="clear" w:color="auto" w:fill="auto"/>
            <w:vAlign w:val="center"/>
          </w:tcPr>
          <w:p w14:paraId="68C99555"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1872BA45"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4609B1F" w14:textId="77777777" w:rsidR="007453EC" w:rsidRPr="000B6B22" w:rsidRDefault="007453EC" w:rsidP="009D4EFF">
            <w:pPr>
              <w:widowControl w:val="0"/>
              <w:spacing w:before="0"/>
              <w:rPr>
                <w:rFonts w:ascii="Times New Roman" w:eastAsia="Calibri" w:hAnsi="Times New Roman"/>
                <w:sz w:val="24"/>
              </w:rPr>
            </w:pPr>
            <w:r>
              <w:rPr>
                <w:rFonts w:ascii="Times New Roman" w:hAnsi="Times New Roman"/>
                <w:sz w:val="24"/>
              </w:rPr>
              <w:t>Όχι</w:t>
            </w:r>
          </w:p>
        </w:tc>
        <w:tc>
          <w:tcPr>
            <w:tcW w:w="2127" w:type="dxa"/>
            <w:shd w:val="clear" w:color="auto" w:fill="auto"/>
            <w:vAlign w:val="center"/>
          </w:tcPr>
          <w:p w14:paraId="092BB4A1" w14:textId="77777777" w:rsidR="007453EC" w:rsidRPr="000B6B22" w:rsidRDefault="007453EC" w:rsidP="009D4EFF">
            <w:pPr>
              <w:widowControl w:val="0"/>
              <w:spacing w:before="0"/>
              <w:rPr>
                <w:rFonts w:ascii="Times New Roman" w:eastAsia="Calibri" w:hAnsi="Times New Roman"/>
                <w:sz w:val="24"/>
              </w:rPr>
            </w:pPr>
            <w:r>
              <w:rPr>
                <w:rFonts w:ascii="Times New Roman" w:hAnsi="Times New Roman"/>
                <w:sz w:val="24"/>
              </w:rPr>
              <w:t># 3</w:t>
            </w:r>
          </w:p>
        </w:tc>
      </w:tr>
      <w:tr w:rsidR="00B47B7D" w:rsidRPr="000B6B22" w14:paraId="7FCE6478" w14:textId="77777777" w:rsidTr="00454544">
        <w:trPr>
          <w:jc w:val="center"/>
        </w:trPr>
        <w:tc>
          <w:tcPr>
            <w:tcW w:w="529" w:type="dxa"/>
            <w:vMerge w:val="restart"/>
            <w:shd w:val="clear" w:color="auto" w:fill="auto"/>
            <w:vAlign w:val="center"/>
          </w:tcPr>
          <w:p w14:paraId="3243EE77" w14:textId="77777777" w:rsidR="007453EC" w:rsidRPr="000B6B22" w:rsidRDefault="007453EC" w:rsidP="009D4EFF">
            <w:pPr>
              <w:spacing w:before="0"/>
              <w:rPr>
                <w:rFonts w:ascii="Times New Roman" w:hAnsi="Times New Roman"/>
                <w:sz w:val="24"/>
              </w:rPr>
            </w:pPr>
            <w:r>
              <w:rPr>
                <w:rFonts w:ascii="Times New Roman" w:hAnsi="Times New Roman"/>
                <w:sz w:val="24"/>
              </w:rPr>
              <w:t>3</w:t>
            </w:r>
          </w:p>
        </w:tc>
        <w:tc>
          <w:tcPr>
            <w:tcW w:w="5550" w:type="dxa"/>
            <w:gridSpan w:val="3"/>
            <w:vMerge w:val="restart"/>
            <w:shd w:val="clear" w:color="auto" w:fill="auto"/>
            <w:vAlign w:val="center"/>
          </w:tcPr>
          <w:p w14:paraId="73200D3D" w14:textId="77777777" w:rsidR="007453EC" w:rsidRPr="000B6B22" w:rsidRDefault="007453EC">
            <w:pPr>
              <w:spacing w:before="0"/>
              <w:rPr>
                <w:rFonts w:ascii="Times New Roman" w:hAnsi="Times New Roman"/>
                <w:sz w:val="24"/>
              </w:rPr>
            </w:pPr>
            <w:r>
              <w:rPr>
                <w:rFonts w:ascii="Times New Roman" w:hAnsi="Times New Roman"/>
                <w:sz w:val="24"/>
              </w:rPr>
              <w:t>Μερική απαλλαγή από το ανώτατο όριο για τις εισροές (άρθρο 33 παράγραφοι 2 έως 5))</w:t>
            </w:r>
          </w:p>
        </w:tc>
        <w:tc>
          <w:tcPr>
            <w:tcW w:w="1400" w:type="dxa"/>
            <w:shd w:val="clear" w:color="auto" w:fill="auto"/>
            <w:vAlign w:val="center"/>
          </w:tcPr>
          <w:p w14:paraId="2FA8DE56" w14:textId="77777777" w:rsidR="007453EC" w:rsidRPr="000B6B22" w:rsidRDefault="007453EC" w:rsidP="009D4EFF">
            <w:pPr>
              <w:spacing w:before="0"/>
              <w:rPr>
                <w:rFonts w:ascii="Times New Roman" w:hAnsi="Times New Roman"/>
                <w:sz w:val="24"/>
              </w:rPr>
            </w:pPr>
            <w:r>
              <w:rPr>
                <w:rFonts w:ascii="Times New Roman" w:hAnsi="Times New Roman"/>
                <w:sz w:val="24"/>
              </w:rPr>
              <w:t>Ναι</w:t>
            </w:r>
          </w:p>
        </w:tc>
        <w:tc>
          <w:tcPr>
            <w:tcW w:w="2127" w:type="dxa"/>
            <w:shd w:val="clear" w:color="auto" w:fill="auto"/>
            <w:vAlign w:val="center"/>
          </w:tcPr>
          <w:p w14:paraId="7C6668C6" w14:textId="77777777" w:rsidR="007453EC" w:rsidRPr="000B6B22" w:rsidRDefault="007453EC" w:rsidP="009D4EFF">
            <w:pPr>
              <w:spacing w:before="0"/>
              <w:rPr>
                <w:rFonts w:ascii="Times New Roman" w:hAnsi="Times New Roman"/>
                <w:sz w:val="24"/>
              </w:rPr>
            </w:pPr>
            <w:r>
              <w:rPr>
                <w:rFonts w:ascii="Times New Roman" w:hAnsi="Times New Roman"/>
                <w:sz w:val="24"/>
              </w:rPr>
              <w:t># 4</w:t>
            </w:r>
          </w:p>
        </w:tc>
      </w:tr>
      <w:tr w:rsidR="00B47B7D" w:rsidRPr="000B6B22" w14:paraId="52F3CFFA" w14:textId="77777777" w:rsidTr="00454544">
        <w:trPr>
          <w:jc w:val="center"/>
        </w:trPr>
        <w:tc>
          <w:tcPr>
            <w:tcW w:w="529" w:type="dxa"/>
            <w:vMerge/>
            <w:shd w:val="clear" w:color="auto" w:fill="auto"/>
            <w:vAlign w:val="center"/>
          </w:tcPr>
          <w:p w14:paraId="2BF14934"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6292223C"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1B38498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Όχι</w:t>
            </w:r>
          </w:p>
        </w:tc>
        <w:tc>
          <w:tcPr>
            <w:tcW w:w="2127" w:type="dxa"/>
            <w:shd w:val="clear" w:color="auto" w:fill="auto"/>
            <w:vAlign w:val="center"/>
          </w:tcPr>
          <w:p w14:paraId="596A02A1"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6</w:t>
            </w:r>
          </w:p>
        </w:tc>
      </w:tr>
      <w:tr w:rsidR="00B47B7D" w:rsidRPr="000B6B22" w14:paraId="396DD3A9" w14:textId="77777777" w:rsidTr="00CB45E9">
        <w:trPr>
          <w:jc w:val="center"/>
        </w:trPr>
        <w:tc>
          <w:tcPr>
            <w:tcW w:w="529" w:type="dxa"/>
            <w:vMerge w:val="restart"/>
            <w:shd w:val="clear" w:color="auto" w:fill="auto"/>
            <w:vAlign w:val="center"/>
          </w:tcPr>
          <w:p w14:paraId="6E7E7C77" w14:textId="77777777" w:rsidR="007453EC" w:rsidRPr="000B6B22" w:rsidRDefault="007453EC" w:rsidP="009D4EFF">
            <w:pPr>
              <w:spacing w:before="0"/>
              <w:rPr>
                <w:rFonts w:ascii="Times New Roman" w:hAnsi="Times New Roman"/>
                <w:sz w:val="24"/>
              </w:rPr>
            </w:pPr>
            <w:r>
              <w:rPr>
                <w:rFonts w:ascii="Times New Roman" w:hAnsi="Times New Roman"/>
                <w:sz w:val="24"/>
              </w:rPr>
              <w:t>4</w:t>
            </w:r>
          </w:p>
        </w:tc>
        <w:tc>
          <w:tcPr>
            <w:tcW w:w="1850" w:type="dxa"/>
            <w:vMerge w:val="restart"/>
            <w:shd w:val="clear" w:color="auto" w:fill="auto"/>
            <w:vAlign w:val="center"/>
          </w:tcPr>
          <w:p w14:paraId="0579C87C" w14:textId="77777777" w:rsidR="007453EC" w:rsidRPr="000B6B22" w:rsidRDefault="007453EC">
            <w:pPr>
              <w:spacing w:before="0"/>
              <w:rPr>
                <w:rFonts w:ascii="Times New Roman" w:hAnsi="Times New Roman"/>
                <w:sz w:val="24"/>
              </w:rPr>
            </w:pPr>
            <w:r>
              <w:rPr>
                <w:rFonts w:ascii="Times New Roman" w:hAnsi="Times New Roman"/>
                <w:sz w:val="24"/>
              </w:rPr>
              <w:t>Μερική απαλλαγή από το ανώτατο όριο για τις εισροές (άρθρο 33 παράγραφοι 2 έως 5))</w:t>
            </w:r>
          </w:p>
        </w:tc>
        <w:tc>
          <w:tcPr>
            <w:tcW w:w="1850" w:type="dxa"/>
            <w:shd w:val="clear" w:color="auto" w:fill="auto"/>
            <w:vAlign w:val="center"/>
          </w:tcPr>
          <w:p w14:paraId="2C0CFC37" w14:textId="77777777" w:rsidR="007453EC" w:rsidRPr="000B6B22" w:rsidRDefault="007453EC" w:rsidP="009D4EFF">
            <w:pPr>
              <w:spacing w:before="0"/>
              <w:rPr>
                <w:rFonts w:ascii="Times New Roman" w:hAnsi="Times New Roman"/>
                <w:sz w:val="24"/>
              </w:rPr>
            </w:pPr>
            <w:r>
              <w:rPr>
                <w:rFonts w:ascii="Times New Roman" w:hAnsi="Times New Roman"/>
                <w:sz w:val="24"/>
              </w:rPr>
              <w:t># 4.1</w:t>
            </w:r>
          </w:p>
        </w:tc>
        <w:tc>
          <w:tcPr>
            <w:tcW w:w="1850" w:type="dxa"/>
            <w:shd w:val="clear" w:color="auto" w:fill="auto"/>
            <w:vAlign w:val="center"/>
          </w:tcPr>
          <w:p w14:paraId="0934822E" w14:textId="77777777" w:rsidR="007453EC" w:rsidRPr="000B6B22" w:rsidRDefault="007453EC">
            <w:pPr>
              <w:spacing w:before="0"/>
              <w:rPr>
                <w:rFonts w:ascii="Times New Roman" w:hAnsi="Times New Roman"/>
                <w:sz w:val="24"/>
              </w:rPr>
            </w:pPr>
            <w:r>
              <w:rPr>
                <w:rFonts w:ascii="Times New Roman" w:hAnsi="Times New Roman"/>
                <w:sz w:val="24"/>
              </w:rPr>
              <w:t>Μέρος των εισροών που εξαιρείται από το ανώτατο όριο στις εισροές</w:t>
            </w:r>
          </w:p>
        </w:tc>
        <w:tc>
          <w:tcPr>
            <w:tcW w:w="1400" w:type="dxa"/>
            <w:shd w:val="clear" w:color="auto" w:fill="BFBFBF"/>
            <w:vAlign w:val="center"/>
          </w:tcPr>
          <w:p w14:paraId="3E72DB07" w14:textId="07E085A3"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7497DD9" w14:textId="77777777" w:rsidR="007453EC" w:rsidRPr="000B6B22" w:rsidRDefault="007453EC" w:rsidP="009D4EFF">
            <w:pPr>
              <w:spacing w:before="0"/>
              <w:rPr>
                <w:rFonts w:ascii="Times New Roman" w:hAnsi="Times New Roman"/>
                <w:sz w:val="24"/>
              </w:rPr>
            </w:pPr>
            <w:r>
              <w:rPr>
                <w:rFonts w:ascii="Times New Roman" w:hAnsi="Times New Roman"/>
                <w:sz w:val="24"/>
              </w:rPr>
              <w:t># 5</w:t>
            </w:r>
          </w:p>
        </w:tc>
      </w:tr>
      <w:tr w:rsidR="00B47B7D" w:rsidRPr="000B6B22" w14:paraId="2AA2201B" w14:textId="77777777" w:rsidTr="00CB45E9">
        <w:trPr>
          <w:jc w:val="center"/>
        </w:trPr>
        <w:tc>
          <w:tcPr>
            <w:tcW w:w="529" w:type="dxa"/>
            <w:vMerge/>
            <w:shd w:val="clear" w:color="auto" w:fill="auto"/>
            <w:vAlign w:val="center"/>
          </w:tcPr>
          <w:p w14:paraId="455DCE77"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3AC67D6D" w14:textId="77777777" w:rsidR="007453EC" w:rsidRPr="000B6B22" w:rsidRDefault="007453EC" w:rsidP="009D4EFF">
            <w:pPr>
              <w:spacing w:before="0"/>
              <w:rPr>
                <w:rFonts w:ascii="Times New Roman" w:hAnsi="Times New Roman"/>
                <w:sz w:val="24"/>
              </w:rPr>
            </w:pPr>
          </w:p>
        </w:tc>
        <w:tc>
          <w:tcPr>
            <w:tcW w:w="1850" w:type="dxa"/>
            <w:shd w:val="clear" w:color="auto" w:fill="auto"/>
            <w:vAlign w:val="center"/>
          </w:tcPr>
          <w:p w14:paraId="6BC6A266" w14:textId="77777777" w:rsidR="007453EC" w:rsidRPr="000B6B22" w:rsidRDefault="007453EC" w:rsidP="009D4EFF">
            <w:pPr>
              <w:spacing w:before="0"/>
              <w:rPr>
                <w:rFonts w:ascii="Times New Roman" w:hAnsi="Times New Roman"/>
                <w:sz w:val="24"/>
              </w:rPr>
            </w:pPr>
            <w:r>
              <w:rPr>
                <w:rFonts w:ascii="Times New Roman" w:hAnsi="Times New Roman"/>
                <w:sz w:val="24"/>
              </w:rPr>
              <w:t># 4.2</w:t>
            </w:r>
          </w:p>
        </w:tc>
        <w:tc>
          <w:tcPr>
            <w:tcW w:w="1850" w:type="dxa"/>
            <w:shd w:val="clear" w:color="auto" w:fill="auto"/>
            <w:vAlign w:val="center"/>
          </w:tcPr>
          <w:p w14:paraId="3E512129" w14:textId="77777777" w:rsidR="007453EC" w:rsidRPr="000B6B22" w:rsidRDefault="007453EC" w:rsidP="009D4EFF">
            <w:pPr>
              <w:spacing w:before="0"/>
              <w:rPr>
                <w:rFonts w:ascii="Times New Roman" w:hAnsi="Times New Roman"/>
                <w:sz w:val="24"/>
              </w:rPr>
            </w:pPr>
            <w:r>
              <w:rPr>
                <w:rFonts w:ascii="Times New Roman" w:hAnsi="Times New Roman"/>
                <w:sz w:val="24"/>
              </w:rPr>
              <w:t>Μέρος των εισροών που δεν εξαιρείται από το ανώτατο όριο στις εισροές</w:t>
            </w:r>
          </w:p>
        </w:tc>
        <w:tc>
          <w:tcPr>
            <w:tcW w:w="1400" w:type="dxa"/>
            <w:shd w:val="clear" w:color="auto" w:fill="BFBFBF"/>
            <w:vAlign w:val="center"/>
          </w:tcPr>
          <w:p w14:paraId="4971F058" w14:textId="4B737BBB" w:rsidR="007453EC" w:rsidRPr="000B6B22" w:rsidRDefault="007453EC" w:rsidP="009D4EFF">
            <w:pPr>
              <w:widowControl w:val="0"/>
              <w:spacing w:before="0"/>
              <w:ind w:left="57"/>
              <w:rPr>
                <w:rFonts w:ascii="Times New Roman" w:hAnsi="Times New Roman"/>
                <w:sz w:val="24"/>
              </w:rPr>
            </w:pPr>
          </w:p>
        </w:tc>
        <w:tc>
          <w:tcPr>
            <w:tcW w:w="2127" w:type="dxa"/>
            <w:shd w:val="clear" w:color="auto" w:fill="auto"/>
            <w:vAlign w:val="center"/>
          </w:tcPr>
          <w:p w14:paraId="331E40A1"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7</w:t>
            </w:r>
          </w:p>
        </w:tc>
      </w:tr>
      <w:tr w:rsidR="00B47B7D" w:rsidRPr="000B6B22" w14:paraId="75AFEB41" w14:textId="77777777" w:rsidTr="00454544">
        <w:trPr>
          <w:jc w:val="center"/>
        </w:trPr>
        <w:tc>
          <w:tcPr>
            <w:tcW w:w="529" w:type="dxa"/>
            <w:vMerge w:val="restart"/>
            <w:shd w:val="clear" w:color="auto" w:fill="auto"/>
            <w:vAlign w:val="center"/>
          </w:tcPr>
          <w:p w14:paraId="28B66774" w14:textId="77777777" w:rsidR="007453EC" w:rsidRPr="000B6B22" w:rsidRDefault="007453EC" w:rsidP="009D4EFF">
            <w:pPr>
              <w:spacing w:before="0"/>
              <w:rPr>
                <w:rFonts w:ascii="Times New Roman" w:hAnsi="Times New Roman"/>
                <w:sz w:val="24"/>
              </w:rPr>
            </w:pPr>
            <w:r>
              <w:rPr>
                <w:rFonts w:ascii="Times New Roman" w:hAnsi="Times New Roman"/>
                <w:sz w:val="24"/>
              </w:rPr>
              <w:t>5</w:t>
            </w:r>
          </w:p>
        </w:tc>
        <w:tc>
          <w:tcPr>
            <w:tcW w:w="5550" w:type="dxa"/>
            <w:gridSpan w:val="3"/>
            <w:vMerge w:val="restart"/>
            <w:shd w:val="clear" w:color="auto" w:fill="auto"/>
            <w:vAlign w:val="center"/>
          </w:tcPr>
          <w:p w14:paraId="78AB9717" w14:textId="77777777" w:rsidR="007453EC" w:rsidRPr="000B6B22" w:rsidRDefault="007453EC">
            <w:pPr>
              <w:spacing w:before="0"/>
              <w:rPr>
                <w:rFonts w:ascii="Times New Roman" w:hAnsi="Times New Roman"/>
                <w:sz w:val="24"/>
              </w:rPr>
            </w:pPr>
            <w:r>
              <w:rPr>
                <w:rFonts w:ascii="Times New Roman" w:hAnsi="Times New Roman"/>
                <w:sz w:val="24"/>
              </w:rPr>
              <w:t>Μέρος των εισροών που εξαιρείται από το ανώτατο όριο του 75 % στις εισροές και υπόκειται στο ανώτατο όριο του 90 % στις εισροές (άρθρο 33 παράγραφοι 4 και 5)</w:t>
            </w:r>
          </w:p>
        </w:tc>
        <w:tc>
          <w:tcPr>
            <w:tcW w:w="1400" w:type="dxa"/>
            <w:shd w:val="clear" w:color="auto" w:fill="auto"/>
            <w:vAlign w:val="center"/>
          </w:tcPr>
          <w:p w14:paraId="69D05845" w14:textId="77777777" w:rsidR="007453EC" w:rsidRPr="000B6B22" w:rsidRDefault="007453EC" w:rsidP="009D4EFF">
            <w:pPr>
              <w:spacing w:before="0"/>
              <w:rPr>
                <w:rFonts w:ascii="Times New Roman" w:hAnsi="Times New Roman"/>
                <w:sz w:val="24"/>
              </w:rPr>
            </w:pPr>
            <w:r>
              <w:rPr>
                <w:rFonts w:ascii="Times New Roman" w:hAnsi="Times New Roman"/>
                <w:sz w:val="24"/>
              </w:rPr>
              <w:t>Ναι</w:t>
            </w:r>
          </w:p>
        </w:tc>
        <w:tc>
          <w:tcPr>
            <w:tcW w:w="2127" w:type="dxa"/>
            <w:shd w:val="clear" w:color="auto" w:fill="auto"/>
            <w:vAlign w:val="center"/>
          </w:tcPr>
          <w:p w14:paraId="78D74646" w14:textId="77777777" w:rsidR="007453EC" w:rsidRPr="000B6B22" w:rsidRDefault="007453EC" w:rsidP="009D4EFF">
            <w:pPr>
              <w:spacing w:before="0"/>
              <w:rPr>
                <w:rFonts w:ascii="Times New Roman" w:hAnsi="Times New Roman"/>
                <w:sz w:val="24"/>
              </w:rPr>
            </w:pPr>
            <w:r>
              <w:rPr>
                <w:rFonts w:ascii="Times New Roman" w:hAnsi="Times New Roman"/>
                <w:sz w:val="24"/>
              </w:rPr>
              <w:t># 9</w:t>
            </w:r>
          </w:p>
        </w:tc>
      </w:tr>
      <w:tr w:rsidR="00B47B7D" w:rsidRPr="000B6B22" w14:paraId="61380C26" w14:textId="77777777" w:rsidTr="00454544">
        <w:trPr>
          <w:jc w:val="center"/>
        </w:trPr>
        <w:tc>
          <w:tcPr>
            <w:tcW w:w="529" w:type="dxa"/>
            <w:vMerge/>
            <w:shd w:val="clear" w:color="auto" w:fill="auto"/>
            <w:vAlign w:val="center"/>
          </w:tcPr>
          <w:p w14:paraId="78E11851"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6E6ED76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2D4B887B"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Όχι</w:t>
            </w:r>
          </w:p>
        </w:tc>
        <w:tc>
          <w:tcPr>
            <w:tcW w:w="2127" w:type="dxa"/>
            <w:shd w:val="clear" w:color="auto" w:fill="auto"/>
            <w:vAlign w:val="center"/>
          </w:tcPr>
          <w:p w14:paraId="45BF915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10</w:t>
            </w:r>
          </w:p>
        </w:tc>
      </w:tr>
      <w:tr w:rsidR="00B47B7D" w:rsidRPr="000B6B22" w14:paraId="36DDE514" w14:textId="77777777" w:rsidTr="00454544">
        <w:trPr>
          <w:jc w:val="center"/>
        </w:trPr>
        <w:tc>
          <w:tcPr>
            <w:tcW w:w="529" w:type="dxa"/>
            <w:vMerge w:val="restart"/>
            <w:shd w:val="clear" w:color="auto" w:fill="auto"/>
            <w:vAlign w:val="center"/>
          </w:tcPr>
          <w:p w14:paraId="3E370192" w14:textId="77777777" w:rsidR="007453EC" w:rsidRPr="000B6B22" w:rsidRDefault="007453EC" w:rsidP="009D4EFF">
            <w:pPr>
              <w:spacing w:before="0"/>
              <w:rPr>
                <w:rFonts w:ascii="Times New Roman" w:hAnsi="Times New Roman"/>
                <w:sz w:val="24"/>
              </w:rPr>
            </w:pPr>
            <w:r>
              <w:rPr>
                <w:rFonts w:ascii="Times New Roman" w:hAnsi="Times New Roman"/>
                <w:sz w:val="24"/>
              </w:rPr>
              <w:t>6</w:t>
            </w:r>
          </w:p>
        </w:tc>
        <w:tc>
          <w:tcPr>
            <w:tcW w:w="5550" w:type="dxa"/>
            <w:gridSpan w:val="3"/>
            <w:vMerge w:val="restart"/>
            <w:shd w:val="clear" w:color="auto" w:fill="auto"/>
            <w:vAlign w:val="center"/>
          </w:tcPr>
          <w:p w14:paraId="5F4409DD" w14:textId="77777777" w:rsidR="007453EC" w:rsidRPr="000B6B22" w:rsidRDefault="007453EC">
            <w:pPr>
              <w:spacing w:before="0"/>
              <w:rPr>
                <w:rFonts w:ascii="Times New Roman" w:hAnsi="Times New Roman"/>
                <w:sz w:val="24"/>
              </w:rPr>
            </w:pPr>
            <w:r>
              <w:rPr>
                <w:rFonts w:ascii="Times New Roman" w:hAnsi="Times New Roman"/>
                <w:sz w:val="24"/>
              </w:rPr>
              <w:t>Εισροές που υπόκεινται στο ανώτατο όριο του 75 % για τις εισροές (άρθρο 33 παράγραφος 1)</w:t>
            </w:r>
          </w:p>
        </w:tc>
        <w:tc>
          <w:tcPr>
            <w:tcW w:w="1400" w:type="dxa"/>
            <w:shd w:val="clear" w:color="auto" w:fill="auto"/>
            <w:vAlign w:val="center"/>
          </w:tcPr>
          <w:p w14:paraId="503B5C98" w14:textId="77777777" w:rsidR="007453EC" w:rsidRPr="000B6B22" w:rsidRDefault="007453EC" w:rsidP="009D4EFF">
            <w:pPr>
              <w:spacing w:before="0"/>
              <w:rPr>
                <w:rFonts w:ascii="Times New Roman" w:hAnsi="Times New Roman"/>
                <w:sz w:val="24"/>
              </w:rPr>
            </w:pPr>
            <w:r>
              <w:rPr>
                <w:rFonts w:ascii="Times New Roman" w:hAnsi="Times New Roman"/>
                <w:sz w:val="24"/>
              </w:rPr>
              <w:t>Ναι</w:t>
            </w:r>
          </w:p>
        </w:tc>
        <w:tc>
          <w:tcPr>
            <w:tcW w:w="2127" w:type="dxa"/>
            <w:shd w:val="clear" w:color="auto" w:fill="auto"/>
            <w:vAlign w:val="center"/>
          </w:tcPr>
          <w:p w14:paraId="105C0FFC" w14:textId="77777777" w:rsidR="007453EC" w:rsidRPr="000B6B22" w:rsidRDefault="007453EC" w:rsidP="009D4EFF">
            <w:pPr>
              <w:spacing w:before="0"/>
              <w:rPr>
                <w:rFonts w:ascii="Times New Roman" w:hAnsi="Times New Roman"/>
                <w:sz w:val="24"/>
              </w:rPr>
            </w:pPr>
            <w:r>
              <w:rPr>
                <w:rFonts w:ascii="Times New Roman" w:hAnsi="Times New Roman"/>
                <w:sz w:val="24"/>
              </w:rPr>
              <w:t># 7</w:t>
            </w:r>
          </w:p>
        </w:tc>
      </w:tr>
      <w:tr w:rsidR="00B47B7D" w:rsidRPr="000B6B22" w14:paraId="7AA72E9F" w14:textId="77777777" w:rsidTr="00454544">
        <w:trPr>
          <w:jc w:val="center"/>
        </w:trPr>
        <w:tc>
          <w:tcPr>
            <w:tcW w:w="529" w:type="dxa"/>
            <w:vMerge/>
            <w:shd w:val="clear" w:color="auto" w:fill="auto"/>
            <w:vAlign w:val="center"/>
          </w:tcPr>
          <w:p w14:paraId="79AA0262"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0A2A6CC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189CD06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Όχι</w:t>
            </w:r>
          </w:p>
        </w:tc>
        <w:tc>
          <w:tcPr>
            <w:tcW w:w="2127" w:type="dxa"/>
            <w:shd w:val="clear" w:color="auto" w:fill="auto"/>
            <w:vAlign w:val="center"/>
          </w:tcPr>
          <w:p w14:paraId="52F4211D"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8</w:t>
            </w:r>
          </w:p>
        </w:tc>
      </w:tr>
      <w:tr w:rsidR="00B47B7D" w:rsidRPr="000B6B22" w14:paraId="2C9616A0" w14:textId="77777777" w:rsidTr="00CB45E9">
        <w:trPr>
          <w:trHeight w:val="220"/>
          <w:jc w:val="center"/>
        </w:trPr>
        <w:tc>
          <w:tcPr>
            <w:tcW w:w="529" w:type="dxa"/>
            <w:vMerge w:val="restart"/>
            <w:shd w:val="clear" w:color="auto" w:fill="auto"/>
            <w:vAlign w:val="center"/>
          </w:tcPr>
          <w:p w14:paraId="7AB488D6" w14:textId="77777777" w:rsidR="007453EC" w:rsidRPr="000B6B22" w:rsidRDefault="007453EC" w:rsidP="009D4EFF">
            <w:pPr>
              <w:spacing w:before="0"/>
              <w:rPr>
                <w:rFonts w:ascii="Times New Roman" w:hAnsi="Times New Roman"/>
                <w:sz w:val="24"/>
              </w:rPr>
            </w:pPr>
            <w:r>
              <w:rPr>
                <w:rFonts w:ascii="Times New Roman" w:hAnsi="Times New Roman"/>
                <w:sz w:val="24"/>
              </w:rPr>
              <w:t>7</w:t>
            </w:r>
          </w:p>
        </w:tc>
        <w:tc>
          <w:tcPr>
            <w:tcW w:w="1850" w:type="dxa"/>
            <w:vMerge w:val="restart"/>
            <w:shd w:val="clear" w:color="auto" w:fill="auto"/>
            <w:vAlign w:val="center"/>
          </w:tcPr>
          <w:p w14:paraId="7AF27C57" w14:textId="77777777" w:rsidR="007453EC" w:rsidRPr="000B6B22" w:rsidRDefault="007453EC">
            <w:pPr>
              <w:spacing w:before="0"/>
              <w:rPr>
                <w:rFonts w:ascii="Times New Roman" w:hAnsi="Times New Roman"/>
                <w:sz w:val="24"/>
              </w:rPr>
            </w:pPr>
            <w:r>
              <w:rPr>
                <w:rFonts w:ascii="Times New Roman" w:hAnsi="Times New Roman"/>
                <w:sz w:val="24"/>
              </w:rPr>
              <w:t>Εισροές που υπόκεινται στο ανώτατο όριο του 75 % για τις εισροές (άρθρο 33 παράγραφος 1)</w:t>
            </w:r>
          </w:p>
        </w:tc>
        <w:tc>
          <w:tcPr>
            <w:tcW w:w="1850" w:type="dxa"/>
            <w:shd w:val="clear" w:color="auto" w:fill="auto"/>
            <w:vAlign w:val="center"/>
          </w:tcPr>
          <w:p w14:paraId="43990686" w14:textId="77777777" w:rsidR="007453EC" w:rsidRPr="000B6B22" w:rsidRDefault="007453EC" w:rsidP="009D4EFF">
            <w:pPr>
              <w:spacing w:before="0"/>
              <w:rPr>
                <w:rFonts w:ascii="Times New Roman" w:hAnsi="Times New Roman"/>
                <w:sz w:val="24"/>
              </w:rPr>
            </w:pPr>
            <w:r>
              <w:rPr>
                <w:rFonts w:ascii="Times New Roman" w:hAnsi="Times New Roman"/>
                <w:sz w:val="24"/>
              </w:rPr>
              <w:t># 7.1</w:t>
            </w:r>
          </w:p>
        </w:tc>
        <w:tc>
          <w:tcPr>
            <w:tcW w:w="1850" w:type="dxa"/>
            <w:shd w:val="clear" w:color="auto" w:fill="auto"/>
            <w:vAlign w:val="center"/>
          </w:tcPr>
          <w:p w14:paraId="609C1254" w14:textId="77777777" w:rsidR="007453EC" w:rsidRPr="000B6B22" w:rsidRDefault="007453EC">
            <w:pPr>
              <w:spacing w:before="0"/>
              <w:rPr>
                <w:rFonts w:ascii="Times New Roman" w:hAnsi="Times New Roman"/>
                <w:sz w:val="24"/>
              </w:rPr>
            </w:pPr>
            <w:r>
              <w:rPr>
                <w:rFonts w:ascii="Times New Roman" w:hAnsi="Times New Roman"/>
                <w:sz w:val="24"/>
              </w:rPr>
              <w:t>Οφειλόμενα ποσά/μέγιστο ποσό που μπορεί να αναληφθεί</w:t>
            </w:r>
          </w:p>
        </w:tc>
        <w:tc>
          <w:tcPr>
            <w:tcW w:w="1400" w:type="dxa"/>
            <w:shd w:val="clear" w:color="auto" w:fill="BFBFBF"/>
            <w:vAlign w:val="center"/>
          </w:tcPr>
          <w:p w14:paraId="5E77FD93" w14:textId="285E93A5"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C47E12C" w14:textId="24B3D0E1" w:rsidR="007453EC" w:rsidRPr="000B6B22" w:rsidRDefault="00575F76" w:rsidP="009D4EFF">
            <w:pPr>
              <w:spacing w:before="0"/>
              <w:rPr>
                <w:rFonts w:ascii="Times New Roman" w:hAnsi="Times New Roman"/>
                <w:sz w:val="24"/>
              </w:rPr>
            </w:pPr>
            <w:r>
              <w:rPr>
                <w:rFonts w:ascii="Times New Roman" w:hAnsi="Times New Roman"/>
                <w:sz w:val="24"/>
              </w:rPr>
              <w:t>Στήλη 0010</w:t>
            </w:r>
          </w:p>
        </w:tc>
      </w:tr>
      <w:tr w:rsidR="00B47B7D" w:rsidRPr="000B6B22" w14:paraId="5A6DF3B3" w14:textId="77777777" w:rsidTr="00CB45E9">
        <w:trPr>
          <w:trHeight w:val="219"/>
          <w:jc w:val="center"/>
        </w:trPr>
        <w:tc>
          <w:tcPr>
            <w:tcW w:w="529" w:type="dxa"/>
            <w:vMerge/>
            <w:shd w:val="clear" w:color="auto" w:fill="auto"/>
            <w:vAlign w:val="center"/>
          </w:tcPr>
          <w:p w14:paraId="14EEB019"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23E67CDC"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5C50CC3A" w14:textId="77777777" w:rsidR="007453EC" w:rsidRPr="000B6B22" w:rsidRDefault="007453EC" w:rsidP="009D4EFF">
            <w:pPr>
              <w:spacing w:before="0"/>
              <w:rPr>
                <w:rFonts w:ascii="Times New Roman" w:hAnsi="Times New Roman"/>
                <w:sz w:val="24"/>
              </w:rPr>
            </w:pPr>
            <w:r>
              <w:rPr>
                <w:rFonts w:ascii="Times New Roman" w:hAnsi="Times New Roman"/>
                <w:sz w:val="24"/>
              </w:rPr>
              <w:t># 7.2</w:t>
            </w:r>
          </w:p>
        </w:tc>
        <w:tc>
          <w:tcPr>
            <w:tcW w:w="1850" w:type="dxa"/>
            <w:shd w:val="clear" w:color="auto" w:fill="auto"/>
            <w:vAlign w:val="center"/>
          </w:tcPr>
          <w:p w14:paraId="22B7B1C7" w14:textId="77777777" w:rsidR="007453EC" w:rsidRPr="000B6B22" w:rsidRDefault="007453EC">
            <w:pPr>
              <w:spacing w:before="0"/>
              <w:rPr>
                <w:rFonts w:ascii="Times New Roman" w:hAnsi="Times New Roman"/>
                <w:sz w:val="24"/>
              </w:rPr>
            </w:pPr>
            <w:r>
              <w:rPr>
                <w:rFonts w:ascii="Times New Roman" w:hAnsi="Times New Roman"/>
                <w:sz w:val="24"/>
              </w:rPr>
              <w:t>Εφαρμοστέος συντελεστής στάθμισης</w:t>
            </w:r>
          </w:p>
        </w:tc>
        <w:tc>
          <w:tcPr>
            <w:tcW w:w="1400" w:type="dxa"/>
            <w:shd w:val="clear" w:color="auto" w:fill="BFBFBF"/>
            <w:vAlign w:val="center"/>
          </w:tcPr>
          <w:p w14:paraId="7C2BD790" w14:textId="4F52EB32"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8F998F6" w14:textId="216110CC" w:rsidR="007453EC" w:rsidRPr="000B6B22" w:rsidRDefault="00575F76" w:rsidP="009D4EFF">
            <w:pPr>
              <w:spacing w:before="0"/>
              <w:rPr>
                <w:rFonts w:ascii="Times New Roman" w:hAnsi="Times New Roman"/>
                <w:sz w:val="24"/>
              </w:rPr>
            </w:pPr>
            <w:r>
              <w:rPr>
                <w:rFonts w:ascii="Times New Roman" w:hAnsi="Times New Roman"/>
                <w:sz w:val="24"/>
              </w:rPr>
              <w:t>Στήλη 0080</w:t>
            </w:r>
          </w:p>
        </w:tc>
      </w:tr>
      <w:tr w:rsidR="00B47B7D" w:rsidRPr="000B6B22" w14:paraId="60F2AF23" w14:textId="77777777" w:rsidTr="00CB45E9">
        <w:trPr>
          <w:trHeight w:val="219"/>
          <w:jc w:val="center"/>
        </w:trPr>
        <w:tc>
          <w:tcPr>
            <w:tcW w:w="529" w:type="dxa"/>
            <w:vMerge/>
            <w:shd w:val="clear" w:color="auto" w:fill="auto"/>
            <w:vAlign w:val="center"/>
          </w:tcPr>
          <w:p w14:paraId="472B0E2B"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9CB4FE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67C61BCD" w14:textId="77777777" w:rsidR="007453EC" w:rsidRPr="000B6B22" w:rsidRDefault="007453EC" w:rsidP="009D4EFF">
            <w:pPr>
              <w:spacing w:before="0"/>
              <w:rPr>
                <w:rFonts w:ascii="Times New Roman" w:hAnsi="Times New Roman"/>
                <w:sz w:val="24"/>
              </w:rPr>
            </w:pPr>
            <w:r>
              <w:rPr>
                <w:rFonts w:ascii="Times New Roman" w:hAnsi="Times New Roman"/>
                <w:sz w:val="24"/>
              </w:rPr>
              <w:t># 7.3</w:t>
            </w:r>
          </w:p>
        </w:tc>
        <w:tc>
          <w:tcPr>
            <w:tcW w:w="1850" w:type="dxa"/>
            <w:shd w:val="clear" w:color="auto" w:fill="auto"/>
            <w:vAlign w:val="center"/>
          </w:tcPr>
          <w:p w14:paraId="3625661C" w14:textId="77777777" w:rsidR="007453EC" w:rsidRPr="000B6B22" w:rsidRDefault="007453EC">
            <w:pPr>
              <w:spacing w:before="0"/>
              <w:rPr>
                <w:rFonts w:ascii="Times New Roman" w:hAnsi="Times New Roman"/>
                <w:sz w:val="24"/>
              </w:rPr>
            </w:pPr>
            <w:r>
              <w:rPr>
                <w:rFonts w:ascii="Times New Roman" w:hAnsi="Times New Roman"/>
                <w:sz w:val="24"/>
              </w:rPr>
              <w:t>Εισροή</w:t>
            </w:r>
          </w:p>
        </w:tc>
        <w:tc>
          <w:tcPr>
            <w:tcW w:w="1400" w:type="dxa"/>
            <w:shd w:val="clear" w:color="auto" w:fill="BFBFBF"/>
            <w:vAlign w:val="center"/>
          </w:tcPr>
          <w:p w14:paraId="53CB0375" w14:textId="3B15B73A"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2E507DB1" w14:textId="23CE1969" w:rsidR="007453EC" w:rsidRPr="000B6B22" w:rsidRDefault="00575F76" w:rsidP="009D4EFF">
            <w:pPr>
              <w:spacing w:before="0"/>
              <w:rPr>
                <w:rFonts w:ascii="Times New Roman" w:hAnsi="Times New Roman"/>
                <w:sz w:val="24"/>
              </w:rPr>
            </w:pPr>
            <w:r>
              <w:rPr>
                <w:rFonts w:ascii="Times New Roman" w:hAnsi="Times New Roman"/>
                <w:sz w:val="24"/>
              </w:rPr>
              <w:t>Στήλη 0140</w:t>
            </w:r>
          </w:p>
        </w:tc>
      </w:tr>
      <w:tr w:rsidR="00B47B7D" w:rsidRPr="000B6B22" w14:paraId="21B4CAAC" w14:textId="77777777" w:rsidTr="00454544">
        <w:trPr>
          <w:jc w:val="center"/>
        </w:trPr>
        <w:tc>
          <w:tcPr>
            <w:tcW w:w="529" w:type="dxa"/>
            <w:vMerge w:val="restart"/>
            <w:shd w:val="clear" w:color="auto" w:fill="auto"/>
            <w:vAlign w:val="center"/>
          </w:tcPr>
          <w:p w14:paraId="5935C8A0" w14:textId="77777777" w:rsidR="007453EC" w:rsidRPr="000B6B22" w:rsidRDefault="007453EC" w:rsidP="009D4EFF">
            <w:pPr>
              <w:spacing w:before="0"/>
              <w:rPr>
                <w:rFonts w:ascii="Times New Roman" w:hAnsi="Times New Roman"/>
                <w:sz w:val="24"/>
              </w:rPr>
            </w:pPr>
            <w:r>
              <w:rPr>
                <w:rFonts w:ascii="Times New Roman" w:hAnsi="Times New Roman"/>
                <w:sz w:val="24"/>
              </w:rPr>
              <w:t>8</w:t>
            </w:r>
          </w:p>
        </w:tc>
        <w:tc>
          <w:tcPr>
            <w:tcW w:w="5550" w:type="dxa"/>
            <w:gridSpan w:val="3"/>
            <w:vMerge w:val="restart"/>
            <w:shd w:val="clear" w:color="auto" w:fill="auto"/>
            <w:vAlign w:val="center"/>
          </w:tcPr>
          <w:p w14:paraId="7F5E8613" w14:textId="77777777" w:rsidR="007453EC" w:rsidRPr="000B6B22" w:rsidRDefault="007453EC">
            <w:pPr>
              <w:spacing w:before="0"/>
              <w:rPr>
                <w:rFonts w:ascii="Times New Roman" w:hAnsi="Times New Roman"/>
                <w:sz w:val="24"/>
              </w:rPr>
            </w:pPr>
            <w:r>
              <w:rPr>
                <w:rFonts w:ascii="Times New Roman" w:hAnsi="Times New Roman"/>
                <w:sz w:val="24"/>
              </w:rPr>
              <w:t>Εισροές που υπόκεινται στο ανώτατο όριο του 90 % στις εισροές (άρθρο 33 παράγραφοι 4 και 5)</w:t>
            </w:r>
          </w:p>
        </w:tc>
        <w:tc>
          <w:tcPr>
            <w:tcW w:w="1400" w:type="dxa"/>
            <w:shd w:val="clear" w:color="auto" w:fill="auto"/>
            <w:vAlign w:val="center"/>
          </w:tcPr>
          <w:p w14:paraId="684A92F1" w14:textId="77777777" w:rsidR="007453EC" w:rsidRPr="000B6B22" w:rsidRDefault="007453EC" w:rsidP="009D4EFF">
            <w:pPr>
              <w:spacing w:before="0"/>
              <w:rPr>
                <w:rFonts w:ascii="Times New Roman" w:hAnsi="Times New Roman"/>
                <w:sz w:val="24"/>
              </w:rPr>
            </w:pPr>
            <w:r>
              <w:rPr>
                <w:rFonts w:ascii="Times New Roman" w:hAnsi="Times New Roman"/>
                <w:sz w:val="24"/>
              </w:rPr>
              <w:t>Ναι</w:t>
            </w:r>
          </w:p>
        </w:tc>
        <w:tc>
          <w:tcPr>
            <w:tcW w:w="2127" w:type="dxa"/>
            <w:shd w:val="clear" w:color="auto" w:fill="auto"/>
            <w:vAlign w:val="center"/>
          </w:tcPr>
          <w:p w14:paraId="0FF41420" w14:textId="77777777" w:rsidR="007453EC" w:rsidRPr="000B6B22" w:rsidRDefault="007453EC" w:rsidP="009D4EFF">
            <w:pPr>
              <w:spacing w:before="0"/>
              <w:rPr>
                <w:rFonts w:ascii="Times New Roman" w:hAnsi="Times New Roman"/>
                <w:b/>
                <w:sz w:val="24"/>
              </w:rPr>
            </w:pPr>
            <w:r>
              <w:rPr>
                <w:rFonts w:ascii="Times New Roman" w:hAnsi="Times New Roman"/>
                <w:sz w:val="24"/>
              </w:rPr>
              <w:t># 9</w:t>
            </w:r>
          </w:p>
        </w:tc>
      </w:tr>
      <w:tr w:rsidR="00B47B7D" w:rsidRPr="000B6B22" w14:paraId="170011A1" w14:textId="77777777" w:rsidTr="00454544">
        <w:trPr>
          <w:jc w:val="center"/>
        </w:trPr>
        <w:tc>
          <w:tcPr>
            <w:tcW w:w="529" w:type="dxa"/>
            <w:vMerge/>
            <w:shd w:val="clear" w:color="auto" w:fill="auto"/>
            <w:vAlign w:val="center"/>
          </w:tcPr>
          <w:p w14:paraId="2FCFE10E"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54F9B53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AAAFF97"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Όχι</w:t>
            </w:r>
          </w:p>
        </w:tc>
        <w:tc>
          <w:tcPr>
            <w:tcW w:w="2127" w:type="dxa"/>
            <w:shd w:val="clear" w:color="auto" w:fill="auto"/>
            <w:vAlign w:val="center"/>
          </w:tcPr>
          <w:p w14:paraId="5D1C0531"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10</w:t>
            </w:r>
          </w:p>
        </w:tc>
      </w:tr>
      <w:tr w:rsidR="00B47B7D" w:rsidRPr="000B6B22" w14:paraId="7EA0F0D8" w14:textId="77777777" w:rsidTr="00CB45E9">
        <w:trPr>
          <w:trHeight w:val="220"/>
          <w:jc w:val="center"/>
        </w:trPr>
        <w:tc>
          <w:tcPr>
            <w:tcW w:w="529" w:type="dxa"/>
            <w:vMerge w:val="restart"/>
            <w:shd w:val="clear" w:color="auto" w:fill="auto"/>
            <w:vAlign w:val="center"/>
          </w:tcPr>
          <w:p w14:paraId="78B10562" w14:textId="77777777" w:rsidR="007453EC" w:rsidRPr="000B6B22" w:rsidRDefault="007453EC" w:rsidP="009D4EFF">
            <w:pPr>
              <w:spacing w:before="0"/>
              <w:rPr>
                <w:rFonts w:ascii="Times New Roman" w:hAnsi="Times New Roman"/>
                <w:sz w:val="24"/>
              </w:rPr>
            </w:pPr>
            <w:r>
              <w:rPr>
                <w:rFonts w:ascii="Times New Roman" w:hAnsi="Times New Roman"/>
                <w:sz w:val="24"/>
              </w:rPr>
              <w:t>9</w:t>
            </w:r>
          </w:p>
        </w:tc>
        <w:tc>
          <w:tcPr>
            <w:tcW w:w="1850" w:type="dxa"/>
            <w:vMerge w:val="restart"/>
            <w:shd w:val="clear" w:color="auto" w:fill="auto"/>
            <w:vAlign w:val="center"/>
          </w:tcPr>
          <w:p w14:paraId="3A286DC6" w14:textId="77777777" w:rsidR="007453EC" w:rsidRPr="000B6B22" w:rsidRDefault="007453EC">
            <w:pPr>
              <w:spacing w:before="0"/>
              <w:rPr>
                <w:rFonts w:ascii="Times New Roman" w:hAnsi="Times New Roman"/>
                <w:sz w:val="24"/>
              </w:rPr>
            </w:pPr>
            <w:r>
              <w:rPr>
                <w:rFonts w:ascii="Times New Roman" w:hAnsi="Times New Roman"/>
                <w:sz w:val="24"/>
              </w:rPr>
              <w:t>Εισροές που υπόκεινται στο ανώτατο όριο του 90 % στις εισροές (άρθρο 33 παράγραφοι 4 και 5)</w:t>
            </w:r>
          </w:p>
        </w:tc>
        <w:tc>
          <w:tcPr>
            <w:tcW w:w="1850" w:type="dxa"/>
            <w:shd w:val="clear" w:color="auto" w:fill="auto"/>
            <w:vAlign w:val="center"/>
          </w:tcPr>
          <w:p w14:paraId="3C08116F" w14:textId="77777777" w:rsidR="007453EC" w:rsidRPr="000B6B22" w:rsidRDefault="007453EC" w:rsidP="009D4EFF">
            <w:pPr>
              <w:spacing w:before="0"/>
              <w:rPr>
                <w:rFonts w:ascii="Times New Roman" w:hAnsi="Times New Roman"/>
                <w:sz w:val="24"/>
              </w:rPr>
            </w:pPr>
            <w:r>
              <w:rPr>
                <w:rFonts w:ascii="Times New Roman" w:hAnsi="Times New Roman"/>
                <w:sz w:val="24"/>
              </w:rPr>
              <w:t># 9.1</w:t>
            </w:r>
          </w:p>
        </w:tc>
        <w:tc>
          <w:tcPr>
            <w:tcW w:w="1850" w:type="dxa"/>
            <w:shd w:val="clear" w:color="auto" w:fill="auto"/>
            <w:vAlign w:val="center"/>
          </w:tcPr>
          <w:p w14:paraId="1C919443" w14:textId="77777777" w:rsidR="007453EC" w:rsidRPr="000B6B22" w:rsidRDefault="007453EC">
            <w:pPr>
              <w:spacing w:before="0"/>
              <w:rPr>
                <w:rFonts w:ascii="Times New Roman" w:hAnsi="Times New Roman"/>
                <w:sz w:val="24"/>
              </w:rPr>
            </w:pPr>
            <w:r>
              <w:rPr>
                <w:rFonts w:ascii="Times New Roman" w:hAnsi="Times New Roman"/>
                <w:sz w:val="24"/>
              </w:rPr>
              <w:t>Οφειλόμενα ποσά/μέγιστο ποσό που μπορεί να αναληφθεί</w:t>
            </w:r>
          </w:p>
        </w:tc>
        <w:tc>
          <w:tcPr>
            <w:tcW w:w="1400" w:type="dxa"/>
            <w:shd w:val="clear" w:color="auto" w:fill="BFBFBF"/>
            <w:vAlign w:val="center"/>
          </w:tcPr>
          <w:p w14:paraId="17F18604" w14:textId="4B2312A6"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27AEF95B" w14:textId="34B18692" w:rsidR="007453EC" w:rsidRPr="000B6B22" w:rsidRDefault="00575F76" w:rsidP="009D4EFF">
            <w:pPr>
              <w:spacing w:before="0"/>
              <w:rPr>
                <w:rFonts w:ascii="Times New Roman" w:hAnsi="Times New Roman"/>
                <w:sz w:val="24"/>
              </w:rPr>
            </w:pPr>
            <w:r>
              <w:rPr>
                <w:rFonts w:ascii="Times New Roman" w:hAnsi="Times New Roman"/>
                <w:sz w:val="24"/>
              </w:rPr>
              <w:t>Στήλη 0020</w:t>
            </w:r>
          </w:p>
        </w:tc>
      </w:tr>
      <w:tr w:rsidR="00B47B7D" w:rsidRPr="000B6B22" w14:paraId="1C8F61B9" w14:textId="77777777" w:rsidTr="00CB45E9">
        <w:trPr>
          <w:trHeight w:val="219"/>
          <w:jc w:val="center"/>
        </w:trPr>
        <w:tc>
          <w:tcPr>
            <w:tcW w:w="529" w:type="dxa"/>
            <w:vMerge/>
            <w:shd w:val="clear" w:color="auto" w:fill="auto"/>
            <w:vAlign w:val="center"/>
          </w:tcPr>
          <w:p w14:paraId="7F449809"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5897DFF"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6B34255" w14:textId="77777777" w:rsidR="007453EC" w:rsidRPr="000B6B22" w:rsidRDefault="007453EC" w:rsidP="009D4EFF">
            <w:pPr>
              <w:spacing w:before="0"/>
              <w:rPr>
                <w:rFonts w:ascii="Times New Roman" w:hAnsi="Times New Roman"/>
                <w:sz w:val="24"/>
              </w:rPr>
            </w:pPr>
            <w:r>
              <w:rPr>
                <w:rFonts w:ascii="Times New Roman" w:hAnsi="Times New Roman"/>
                <w:sz w:val="24"/>
              </w:rPr>
              <w:t># 9.2</w:t>
            </w:r>
          </w:p>
        </w:tc>
        <w:tc>
          <w:tcPr>
            <w:tcW w:w="1850" w:type="dxa"/>
            <w:shd w:val="clear" w:color="auto" w:fill="auto"/>
            <w:vAlign w:val="center"/>
          </w:tcPr>
          <w:p w14:paraId="26046E2E" w14:textId="77777777" w:rsidR="007453EC" w:rsidRPr="000B6B22" w:rsidRDefault="007453EC">
            <w:pPr>
              <w:spacing w:before="0"/>
              <w:rPr>
                <w:rFonts w:ascii="Times New Roman" w:hAnsi="Times New Roman"/>
                <w:sz w:val="24"/>
              </w:rPr>
            </w:pPr>
            <w:r>
              <w:rPr>
                <w:rFonts w:ascii="Times New Roman" w:hAnsi="Times New Roman"/>
                <w:sz w:val="24"/>
              </w:rPr>
              <w:t>Εφαρμοστέος συντελεστής στάθμισης</w:t>
            </w:r>
          </w:p>
        </w:tc>
        <w:tc>
          <w:tcPr>
            <w:tcW w:w="1400" w:type="dxa"/>
            <w:shd w:val="clear" w:color="auto" w:fill="BFBFBF"/>
            <w:vAlign w:val="center"/>
          </w:tcPr>
          <w:p w14:paraId="13039023" w14:textId="1B8F3755"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0ABD55C0" w14:textId="19845613" w:rsidR="007453EC" w:rsidRPr="000B6B22" w:rsidRDefault="00575F76" w:rsidP="009D4EFF">
            <w:pPr>
              <w:spacing w:before="0"/>
              <w:rPr>
                <w:rFonts w:ascii="Times New Roman" w:hAnsi="Times New Roman"/>
                <w:sz w:val="24"/>
              </w:rPr>
            </w:pPr>
            <w:r>
              <w:rPr>
                <w:rFonts w:ascii="Times New Roman" w:hAnsi="Times New Roman"/>
                <w:sz w:val="24"/>
              </w:rPr>
              <w:t>Στήλη 0090</w:t>
            </w:r>
          </w:p>
        </w:tc>
      </w:tr>
      <w:tr w:rsidR="00B47B7D" w:rsidRPr="000B6B22" w14:paraId="27AA067A" w14:textId="77777777" w:rsidTr="00CB45E9">
        <w:trPr>
          <w:trHeight w:val="219"/>
          <w:jc w:val="center"/>
        </w:trPr>
        <w:tc>
          <w:tcPr>
            <w:tcW w:w="529" w:type="dxa"/>
            <w:vMerge/>
            <w:shd w:val="clear" w:color="auto" w:fill="auto"/>
            <w:vAlign w:val="center"/>
          </w:tcPr>
          <w:p w14:paraId="43A4A7CF"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EC6937B"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4314A302" w14:textId="77777777" w:rsidR="007453EC" w:rsidRPr="000B6B22" w:rsidRDefault="007453EC" w:rsidP="009D4EFF">
            <w:pPr>
              <w:spacing w:before="0"/>
              <w:rPr>
                <w:rFonts w:ascii="Times New Roman" w:hAnsi="Times New Roman"/>
                <w:sz w:val="24"/>
              </w:rPr>
            </w:pPr>
            <w:r>
              <w:rPr>
                <w:rFonts w:ascii="Times New Roman" w:hAnsi="Times New Roman"/>
                <w:sz w:val="24"/>
              </w:rPr>
              <w:t># 9.3</w:t>
            </w:r>
          </w:p>
        </w:tc>
        <w:tc>
          <w:tcPr>
            <w:tcW w:w="1850" w:type="dxa"/>
            <w:shd w:val="clear" w:color="auto" w:fill="auto"/>
            <w:vAlign w:val="center"/>
          </w:tcPr>
          <w:p w14:paraId="09BE6EF4" w14:textId="77777777" w:rsidR="007453EC" w:rsidRPr="000B6B22" w:rsidRDefault="007453EC">
            <w:pPr>
              <w:spacing w:before="0"/>
              <w:rPr>
                <w:rFonts w:ascii="Times New Roman" w:hAnsi="Times New Roman"/>
                <w:sz w:val="24"/>
              </w:rPr>
            </w:pPr>
            <w:r>
              <w:rPr>
                <w:rFonts w:ascii="Times New Roman" w:hAnsi="Times New Roman"/>
                <w:sz w:val="24"/>
              </w:rPr>
              <w:t>Εισροή</w:t>
            </w:r>
          </w:p>
        </w:tc>
        <w:tc>
          <w:tcPr>
            <w:tcW w:w="1400" w:type="dxa"/>
            <w:shd w:val="clear" w:color="auto" w:fill="BFBFBF"/>
            <w:vAlign w:val="center"/>
          </w:tcPr>
          <w:p w14:paraId="69B33758" w14:textId="604A873A"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1B5F075C" w14:textId="04E6D1E0" w:rsidR="007453EC" w:rsidRPr="000B6B22" w:rsidRDefault="00575F76" w:rsidP="009D4EFF">
            <w:pPr>
              <w:spacing w:before="0"/>
              <w:rPr>
                <w:rFonts w:ascii="Times New Roman" w:hAnsi="Times New Roman"/>
                <w:sz w:val="24"/>
              </w:rPr>
            </w:pPr>
            <w:r>
              <w:rPr>
                <w:rFonts w:ascii="Times New Roman" w:hAnsi="Times New Roman"/>
                <w:sz w:val="24"/>
              </w:rPr>
              <w:t>Στήλη 0150</w:t>
            </w:r>
          </w:p>
        </w:tc>
      </w:tr>
      <w:tr w:rsidR="00B47B7D" w:rsidRPr="000B6B22" w14:paraId="4A2BD79B" w14:textId="77777777" w:rsidTr="00CB45E9">
        <w:trPr>
          <w:trHeight w:val="220"/>
          <w:jc w:val="center"/>
        </w:trPr>
        <w:tc>
          <w:tcPr>
            <w:tcW w:w="529" w:type="dxa"/>
            <w:vMerge w:val="restart"/>
            <w:shd w:val="clear" w:color="auto" w:fill="auto"/>
            <w:vAlign w:val="center"/>
          </w:tcPr>
          <w:p w14:paraId="40C736AF" w14:textId="77777777" w:rsidR="007453EC" w:rsidRPr="000B6B22" w:rsidRDefault="007453EC" w:rsidP="009D4EFF">
            <w:pPr>
              <w:spacing w:before="0"/>
              <w:rPr>
                <w:rFonts w:ascii="Times New Roman" w:hAnsi="Times New Roman"/>
                <w:sz w:val="24"/>
              </w:rPr>
            </w:pPr>
            <w:r>
              <w:rPr>
                <w:rFonts w:ascii="Times New Roman" w:hAnsi="Times New Roman"/>
                <w:sz w:val="24"/>
              </w:rPr>
              <w:t>10</w:t>
            </w:r>
          </w:p>
        </w:tc>
        <w:tc>
          <w:tcPr>
            <w:tcW w:w="1850" w:type="dxa"/>
            <w:vMerge w:val="restart"/>
            <w:shd w:val="clear" w:color="auto" w:fill="auto"/>
            <w:vAlign w:val="center"/>
          </w:tcPr>
          <w:p w14:paraId="3589B28A" w14:textId="77777777" w:rsidR="007453EC" w:rsidRPr="000B6B22" w:rsidRDefault="007453EC">
            <w:pPr>
              <w:spacing w:before="0"/>
              <w:rPr>
                <w:rFonts w:ascii="Times New Roman" w:hAnsi="Times New Roman"/>
                <w:sz w:val="24"/>
              </w:rPr>
            </w:pPr>
            <w:r>
              <w:rPr>
                <w:rFonts w:ascii="Times New Roman" w:hAnsi="Times New Roman"/>
                <w:sz w:val="24"/>
              </w:rPr>
              <w:t xml:space="preserve">Εισροές που εξαιρούνται </w:t>
            </w:r>
            <w:r>
              <w:rPr>
                <w:rFonts w:ascii="Times New Roman" w:hAnsi="Times New Roman"/>
                <w:sz w:val="24"/>
              </w:rPr>
              <w:lastRenderedPageBreak/>
              <w:t>πλήρως από το ανώτατο όριο στις εισροές (άρθρο 33 παράγραφοι 2-3)</w:t>
            </w:r>
          </w:p>
        </w:tc>
        <w:tc>
          <w:tcPr>
            <w:tcW w:w="1850" w:type="dxa"/>
            <w:shd w:val="clear" w:color="auto" w:fill="auto"/>
            <w:vAlign w:val="center"/>
          </w:tcPr>
          <w:p w14:paraId="7E931F3C" w14:textId="77777777" w:rsidR="007453EC" w:rsidRPr="000B6B22" w:rsidRDefault="007453EC" w:rsidP="009D4EFF">
            <w:pPr>
              <w:spacing w:before="0"/>
              <w:rPr>
                <w:rFonts w:ascii="Times New Roman" w:hAnsi="Times New Roman"/>
                <w:sz w:val="24"/>
              </w:rPr>
            </w:pPr>
            <w:r>
              <w:rPr>
                <w:rFonts w:ascii="Times New Roman" w:hAnsi="Times New Roman"/>
                <w:sz w:val="24"/>
              </w:rPr>
              <w:lastRenderedPageBreak/>
              <w:t># 10.1</w:t>
            </w:r>
          </w:p>
        </w:tc>
        <w:tc>
          <w:tcPr>
            <w:tcW w:w="1850" w:type="dxa"/>
            <w:shd w:val="clear" w:color="auto" w:fill="auto"/>
            <w:vAlign w:val="center"/>
          </w:tcPr>
          <w:p w14:paraId="6D224F75" w14:textId="77777777" w:rsidR="007453EC" w:rsidRPr="000B6B22" w:rsidRDefault="007453EC">
            <w:pPr>
              <w:spacing w:before="0"/>
              <w:rPr>
                <w:rFonts w:ascii="Times New Roman" w:hAnsi="Times New Roman"/>
                <w:sz w:val="24"/>
              </w:rPr>
            </w:pPr>
            <w:r>
              <w:rPr>
                <w:rFonts w:ascii="Times New Roman" w:hAnsi="Times New Roman"/>
                <w:sz w:val="24"/>
              </w:rPr>
              <w:t xml:space="preserve">Οφειλόμενα ποσά/μέγιστο </w:t>
            </w:r>
            <w:r>
              <w:rPr>
                <w:rFonts w:ascii="Times New Roman" w:hAnsi="Times New Roman"/>
                <w:sz w:val="24"/>
              </w:rPr>
              <w:lastRenderedPageBreak/>
              <w:t>ποσό που μπορεί να αναληφθεί</w:t>
            </w:r>
          </w:p>
        </w:tc>
        <w:tc>
          <w:tcPr>
            <w:tcW w:w="1400" w:type="dxa"/>
            <w:shd w:val="clear" w:color="auto" w:fill="BFBFBF"/>
            <w:vAlign w:val="center"/>
          </w:tcPr>
          <w:p w14:paraId="584F35B6" w14:textId="2632A3A0"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71CC6AD8" w14:textId="260E2FFB" w:rsidR="007453EC" w:rsidRPr="000B6B22" w:rsidRDefault="00575F76" w:rsidP="009D4EFF">
            <w:pPr>
              <w:spacing w:before="0"/>
              <w:rPr>
                <w:rFonts w:ascii="Times New Roman" w:hAnsi="Times New Roman"/>
                <w:sz w:val="24"/>
              </w:rPr>
            </w:pPr>
            <w:r>
              <w:rPr>
                <w:rFonts w:ascii="Times New Roman" w:hAnsi="Times New Roman"/>
                <w:sz w:val="24"/>
              </w:rPr>
              <w:t>Στήλη 0030</w:t>
            </w:r>
          </w:p>
        </w:tc>
      </w:tr>
      <w:tr w:rsidR="00B47B7D" w:rsidRPr="000B6B22" w14:paraId="579F7447" w14:textId="77777777" w:rsidTr="00CB45E9">
        <w:trPr>
          <w:trHeight w:val="219"/>
          <w:jc w:val="center"/>
        </w:trPr>
        <w:tc>
          <w:tcPr>
            <w:tcW w:w="529" w:type="dxa"/>
            <w:vMerge/>
            <w:shd w:val="clear" w:color="auto" w:fill="auto"/>
            <w:vAlign w:val="center"/>
          </w:tcPr>
          <w:p w14:paraId="0EFB27F5"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438A2E4"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1BCDEA35" w14:textId="77777777" w:rsidR="007453EC" w:rsidRPr="000B6B22" w:rsidRDefault="007453EC" w:rsidP="009D4EFF">
            <w:pPr>
              <w:spacing w:before="0"/>
              <w:rPr>
                <w:rFonts w:ascii="Times New Roman" w:hAnsi="Times New Roman"/>
                <w:sz w:val="24"/>
              </w:rPr>
            </w:pPr>
            <w:r>
              <w:rPr>
                <w:rFonts w:ascii="Times New Roman" w:hAnsi="Times New Roman"/>
                <w:sz w:val="24"/>
              </w:rPr>
              <w:t># 10.2</w:t>
            </w:r>
          </w:p>
        </w:tc>
        <w:tc>
          <w:tcPr>
            <w:tcW w:w="1850" w:type="dxa"/>
            <w:shd w:val="clear" w:color="auto" w:fill="auto"/>
            <w:vAlign w:val="center"/>
          </w:tcPr>
          <w:p w14:paraId="459EC3E0" w14:textId="77777777" w:rsidR="007453EC" w:rsidRPr="000B6B22" w:rsidRDefault="007453EC">
            <w:pPr>
              <w:spacing w:before="0"/>
              <w:rPr>
                <w:rFonts w:ascii="Times New Roman" w:hAnsi="Times New Roman"/>
                <w:sz w:val="24"/>
              </w:rPr>
            </w:pPr>
            <w:r>
              <w:rPr>
                <w:rFonts w:ascii="Times New Roman" w:hAnsi="Times New Roman"/>
                <w:sz w:val="24"/>
              </w:rPr>
              <w:t>Εφαρμοστέος συντελεστής στάθμισης</w:t>
            </w:r>
          </w:p>
        </w:tc>
        <w:tc>
          <w:tcPr>
            <w:tcW w:w="1400" w:type="dxa"/>
            <w:shd w:val="clear" w:color="auto" w:fill="BFBFBF"/>
            <w:vAlign w:val="center"/>
          </w:tcPr>
          <w:p w14:paraId="76CD534B" w14:textId="7FBBE5A5"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3E016C2B" w14:textId="09536D1B" w:rsidR="007453EC" w:rsidRPr="000B6B22" w:rsidRDefault="00575F76" w:rsidP="009D4EFF">
            <w:pPr>
              <w:spacing w:before="0"/>
              <w:rPr>
                <w:rFonts w:ascii="Times New Roman" w:hAnsi="Times New Roman"/>
                <w:sz w:val="24"/>
              </w:rPr>
            </w:pPr>
            <w:r>
              <w:rPr>
                <w:rFonts w:ascii="Times New Roman" w:hAnsi="Times New Roman"/>
                <w:sz w:val="24"/>
              </w:rPr>
              <w:t>Στήλη 0100</w:t>
            </w:r>
          </w:p>
        </w:tc>
      </w:tr>
      <w:tr w:rsidR="00B47B7D" w:rsidRPr="000B6B22" w14:paraId="149AA414" w14:textId="77777777" w:rsidTr="00CB45E9">
        <w:trPr>
          <w:trHeight w:val="219"/>
          <w:jc w:val="center"/>
        </w:trPr>
        <w:tc>
          <w:tcPr>
            <w:tcW w:w="529" w:type="dxa"/>
            <w:vMerge/>
            <w:shd w:val="clear" w:color="auto" w:fill="auto"/>
            <w:vAlign w:val="center"/>
          </w:tcPr>
          <w:p w14:paraId="1B3CACA6"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1B82284"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1010DD00" w14:textId="77777777" w:rsidR="007453EC" w:rsidRPr="000B6B22" w:rsidRDefault="007453EC" w:rsidP="009D4EFF">
            <w:pPr>
              <w:spacing w:before="0"/>
              <w:rPr>
                <w:rFonts w:ascii="Times New Roman" w:hAnsi="Times New Roman"/>
                <w:sz w:val="24"/>
              </w:rPr>
            </w:pPr>
            <w:r>
              <w:rPr>
                <w:rFonts w:ascii="Times New Roman" w:hAnsi="Times New Roman"/>
                <w:sz w:val="24"/>
              </w:rPr>
              <w:t># 10.3</w:t>
            </w:r>
          </w:p>
        </w:tc>
        <w:tc>
          <w:tcPr>
            <w:tcW w:w="1850" w:type="dxa"/>
            <w:shd w:val="clear" w:color="auto" w:fill="auto"/>
            <w:vAlign w:val="center"/>
          </w:tcPr>
          <w:p w14:paraId="71FB0192" w14:textId="77777777" w:rsidR="007453EC" w:rsidRPr="000B6B22" w:rsidRDefault="007453EC">
            <w:pPr>
              <w:spacing w:before="0"/>
              <w:rPr>
                <w:rFonts w:ascii="Times New Roman" w:hAnsi="Times New Roman"/>
                <w:sz w:val="24"/>
              </w:rPr>
            </w:pPr>
            <w:r>
              <w:rPr>
                <w:rFonts w:ascii="Times New Roman" w:hAnsi="Times New Roman"/>
                <w:sz w:val="24"/>
              </w:rPr>
              <w:t>Εισροή</w:t>
            </w:r>
          </w:p>
        </w:tc>
        <w:tc>
          <w:tcPr>
            <w:tcW w:w="1400" w:type="dxa"/>
            <w:shd w:val="clear" w:color="auto" w:fill="BFBFBF"/>
            <w:vAlign w:val="center"/>
          </w:tcPr>
          <w:p w14:paraId="45783433" w14:textId="6665F7CE"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2F77739A" w14:textId="608D4BC5" w:rsidR="007453EC" w:rsidRPr="000B6B22" w:rsidRDefault="00575F76" w:rsidP="009D4EFF">
            <w:pPr>
              <w:spacing w:before="0"/>
              <w:rPr>
                <w:rFonts w:ascii="Times New Roman" w:hAnsi="Times New Roman"/>
                <w:sz w:val="24"/>
              </w:rPr>
            </w:pPr>
            <w:r>
              <w:rPr>
                <w:rFonts w:ascii="Times New Roman" w:hAnsi="Times New Roman"/>
                <w:sz w:val="24"/>
              </w:rPr>
              <w:t>Στήλη 0160</w:t>
            </w:r>
          </w:p>
        </w:tc>
      </w:tr>
      <w:tr w:rsidR="00B47B7D" w:rsidRPr="000B6B22" w14:paraId="65E586D2" w14:textId="77777777" w:rsidTr="00454544">
        <w:trPr>
          <w:jc w:val="center"/>
        </w:trPr>
        <w:tc>
          <w:tcPr>
            <w:tcW w:w="529" w:type="dxa"/>
            <w:vMerge w:val="restart"/>
            <w:shd w:val="clear" w:color="auto" w:fill="auto"/>
            <w:vAlign w:val="center"/>
          </w:tcPr>
          <w:p w14:paraId="0B955189" w14:textId="77777777" w:rsidR="007453EC" w:rsidRPr="000B6B22" w:rsidRDefault="007453EC" w:rsidP="009D4EFF">
            <w:pPr>
              <w:spacing w:before="0"/>
              <w:rPr>
                <w:rFonts w:ascii="Times New Roman" w:hAnsi="Times New Roman"/>
                <w:sz w:val="24"/>
              </w:rPr>
            </w:pPr>
            <w:r>
              <w:rPr>
                <w:rFonts w:ascii="Times New Roman" w:hAnsi="Times New Roman"/>
                <w:sz w:val="24"/>
              </w:rPr>
              <w:t>11</w:t>
            </w:r>
          </w:p>
        </w:tc>
        <w:tc>
          <w:tcPr>
            <w:tcW w:w="5550" w:type="dxa"/>
            <w:gridSpan w:val="3"/>
            <w:vMerge w:val="restart"/>
            <w:shd w:val="clear" w:color="auto" w:fill="auto"/>
            <w:vAlign w:val="center"/>
          </w:tcPr>
          <w:p w14:paraId="7A65A612" w14:textId="70E08641" w:rsidR="007453EC" w:rsidRPr="000B6B22" w:rsidRDefault="007453EC">
            <w:pPr>
              <w:spacing w:before="0"/>
              <w:rPr>
                <w:rFonts w:ascii="Times New Roman" w:hAnsi="Times New Roman"/>
                <w:sz w:val="24"/>
              </w:rPr>
            </w:pPr>
            <w:r>
              <w:rPr>
                <w:rFonts w:ascii="Times New Roman" w:hAnsi="Times New Roman"/>
                <w:sz w:val="24"/>
              </w:rPr>
              <w:t>Εξασφαλισμένες πράξεις χρηματοδότησης όταν οι εξασφαλίσεις είναι γενικά επιλέξιμες ως ρευστά στοιχεία ενεργητικού (ανεξάρτητα από το αν χρησιμοποιούνται εκ νέου σε άλλη συναλλαγή και ανεξάρτητα από το αν το στοιχείο ενεργητικού πληροί τη λειτουργική απαίτηση του άρθρου 8)</w:t>
            </w:r>
          </w:p>
        </w:tc>
        <w:tc>
          <w:tcPr>
            <w:tcW w:w="1400" w:type="dxa"/>
            <w:shd w:val="clear" w:color="auto" w:fill="auto"/>
            <w:vAlign w:val="center"/>
          </w:tcPr>
          <w:p w14:paraId="28A0EE50" w14:textId="77777777" w:rsidR="007453EC" w:rsidRPr="000B6B22" w:rsidRDefault="007453EC" w:rsidP="009D4EFF">
            <w:pPr>
              <w:spacing w:before="0"/>
              <w:rPr>
                <w:rFonts w:ascii="Times New Roman" w:hAnsi="Times New Roman"/>
                <w:sz w:val="24"/>
              </w:rPr>
            </w:pPr>
            <w:r>
              <w:rPr>
                <w:rFonts w:ascii="Times New Roman" w:hAnsi="Times New Roman"/>
                <w:sz w:val="24"/>
              </w:rPr>
              <w:t>Ναι</w:t>
            </w:r>
          </w:p>
        </w:tc>
        <w:tc>
          <w:tcPr>
            <w:tcW w:w="2127" w:type="dxa"/>
            <w:shd w:val="clear" w:color="auto" w:fill="auto"/>
            <w:vAlign w:val="center"/>
          </w:tcPr>
          <w:p w14:paraId="40E32A96" w14:textId="77777777" w:rsidR="007453EC" w:rsidRPr="000B6B22" w:rsidRDefault="007453EC" w:rsidP="009D4EFF">
            <w:pPr>
              <w:spacing w:before="0"/>
              <w:rPr>
                <w:rFonts w:ascii="Times New Roman" w:hAnsi="Times New Roman"/>
                <w:sz w:val="24"/>
              </w:rPr>
            </w:pPr>
            <w:r>
              <w:rPr>
                <w:rFonts w:ascii="Times New Roman" w:hAnsi="Times New Roman"/>
                <w:sz w:val="24"/>
              </w:rPr>
              <w:t># 12</w:t>
            </w:r>
          </w:p>
        </w:tc>
      </w:tr>
      <w:tr w:rsidR="00B47B7D" w:rsidRPr="000B6B22" w14:paraId="056753F0" w14:textId="77777777" w:rsidTr="00454544">
        <w:trPr>
          <w:jc w:val="center"/>
        </w:trPr>
        <w:tc>
          <w:tcPr>
            <w:tcW w:w="529" w:type="dxa"/>
            <w:vMerge/>
            <w:shd w:val="clear" w:color="auto" w:fill="auto"/>
            <w:vAlign w:val="center"/>
          </w:tcPr>
          <w:p w14:paraId="31720753"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7E8FB73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6A75B949"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Όχι</w:t>
            </w:r>
          </w:p>
        </w:tc>
        <w:tc>
          <w:tcPr>
            <w:tcW w:w="2127" w:type="dxa"/>
            <w:shd w:val="clear" w:color="auto" w:fill="auto"/>
            <w:vAlign w:val="center"/>
          </w:tcPr>
          <w:p w14:paraId="415217C9"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3</w:t>
            </w:r>
          </w:p>
        </w:tc>
      </w:tr>
      <w:tr w:rsidR="00B47B7D" w:rsidRPr="000B6B22" w14:paraId="63886A95" w14:textId="77777777" w:rsidTr="00454544">
        <w:trPr>
          <w:jc w:val="center"/>
        </w:trPr>
        <w:tc>
          <w:tcPr>
            <w:tcW w:w="529" w:type="dxa"/>
            <w:vMerge w:val="restart"/>
            <w:shd w:val="clear" w:color="auto" w:fill="auto"/>
            <w:vAlign w:val="center"/>
          </w:tcPr>
          <w:p w14:paraId="680BD076" w14:textId="77777777" w:rsidR="007453EC" w:rsidRPr="000B6B22" w:rsidRDefault="007453EC" w:rsidP="009D4EFF">
            <w:pPr>
              <w:spacing w:before="0"/>
              <w:rPr>
                <w:rFonts w:ascii="Times New Roman" w:hAnsi="Times New Roman"/>
                <w:sz w:val="24"/>
              </w:rPr>
            </w:pPr>
            <w:r>
              <w:rPr>
                <w:rFonts w:ascii="Times New Roman" w:hAnsi="Times New Roman"/>
                <w:sz w:val="24"/>
              </w:rPr>
              <w:t>12</w:t>
            </w:r>
          </w:p>
        </w:tc>
        <w:tc>
          <w:tcPr>
            <w:tcW w:w="5550" w:type="dxa"/>
            <w:gridSpan w:val="3"/>
            <w:vMerge w:val="restart"/>
            <w:shd w:val="clear" w:color="auto" w:fill="auto"/>
            <w:vAlign w:val="center"/>
          </w:tcPr>
          <w:p w14:paraId="28493A80" w14:textId="77777777" w:rsidR="007453EC" w:rsidRPr="000B6B22" w:rsidRDefault="007453EC">
            <w:pPr>
              <w:spacing w:before="0"/>
              <w:rPr>
                <w:rFonts w:ascii="Times New Roman" w:hAnsi="Times New Roman"/>
                <w:sz w:val="24"/>
              </w:rPr>
            </w:pPr>
            <w:r>
              <w:rPr>
                <w:rFonts w:ascii="Times New Roman" w:hAnsi="Times New Roman"/>
                <w:sz w:val="24"/>
              </w:rPr>
              <w:t>Μερική εξαίρεση από το ανώτατο όριο για τις εισροές (άρθρο 33 παράγραφοι 2 έως 5)</w:t>
            </w:r>
          </w:p>
        </w:tc>
        <w:tc>
          <w:tcPr>
            <w:tcW w:w="1400" w:type="dxa"/>
            <w:shd w:val="clear" w:color="auto" w:fill="auto"/>
            <w:vAlign w:val="center"/>
          </w:tcPr>
          <w:p w14:paraId="1C560F1A" w14:textId="77777777" w:rsidR="007453EC" w:rsidRPr="000B6B22" w:rsidRDefault="007453EC" w:rsidP="009D4EFF">
            <w:pPr>
              <w:spacing w:before="0"/>
              <w:rPr>
                <w:rFonts w:ascii="Times New Roman" w:hAnsi="Times New Roman"/>
                <w:sz w:val="24"/>
              </w:rPr>
            </w:pPr>
            <w:r>
              <w:rPr>
                <w:rFonts w:ascii="Times New Roman" w:hAnsi="Times New Roman"/>
                <w:sz w:val="24"/>
              </w:rPr>
              <w:t>Ναι</w:t>
            </w:r>
          </w:p>
        </w:tc>
        <w:tc>
          <w:tcPr>
            <w:tcW w:w="2127" w:type="dxa"/>
            <w:shd w:val="clear" w:color="auto" w:fill="auto"/>
            <w:vAlign w:val="center"/>
          </w:tcPr>
          <w:p w14:paraId="2C8E20AD" w14:textId="77777777" w:rsidR="007453EC" w:rsidRPr="000B6B22" w:rsidRDefault="007453EC" w:rsidP="009D4EFF">
            <w:pPr>
              <w:spacing w:before="0"/>
              <w:rPr>
                <w:rFonts w:ascii="Times New Roman" w:hAnsi="Times New Roman"/>
                <w:sz w:val="24"/>
              </w:rPr>
            </w:pPr>
            <w:r>
              <w:rPr>
                <w:rFonts w:ascii="Times New Roman" w:hAnsi="Times New Roman"/>
                <w:sz w:val="24"/>
              </w:rPr>
              <w:t># 13</w:t>
            </w:r>
          </w:p>
        </w:tc>
      </w:tr>
      <w:tr w:rsidR="00B47B7D" w:rsidRPr="000B6B22" w14:paraId="5E71DD13" w14:textId="77777777" w:rsidTr="00454544">
        <w:trPr>
          <w:jc w:val="center"/>
        </w:trPr>
        <w:tc>
          <w:tcPr>
            <w:tcW w:w="529" w:type="dxa"/>
            <w:vMerge/>
            <w:shd w:val="clear" w:color="auto" w:fill="auto"/>
            <w:vAlign w:val="center"/>
          </w:tcPr>
          <w:p w14:paraId="036DB8E3"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235A9F61"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66A10794"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Όχι</w:t>
            </w:r>
          </w:p>
        </w:tc>
        <w:tc>
          <w:tcPr>
            <w:tcW w:w="2127" w:type="dxa"/>
            <w:shd w:val="clear" w:color="auto" w:fill="auto"/>
            <w:vAlign w:val="center"/>
          </w:tcPr>
          <w:p w14:paraId="4AACB393"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15</w:t>
            </w:r>
          </w:p>
        </w:tc>
      </w:tr>
      <w:tr w:rsidR="00B47B7D" w:rsidRPr="000B6B22" w14:paraId="1CD3B6F4" w14:textId="77777777" w:rsidTr="00CB45E9">
        <w:trPr>
          <w:jc w:val="center"/>
        </w:trPr>
        <w:tc>
          <w:tcPr>
            <w:tcW w:w="529" w:type="dxa"/>
            <w:vMerge w:val="restart"/>
            <w:shd w:val="clear" w:color="auto" w:fill="auto"/>
            <w:vAlign w:val="center"/>
          </w:tcPr>
          <w:p w14:paraId="513B1777" w14:textId="77777777" w:rsidR="007453EC" w:rsidRPr="000B6B22" w:rsidRDefault="007453EC" w:rsidP="009D4EFF">
            <w:pPr>
              <w:spacing w:before="0"/>
              <w:rPr>
                <w:rFonts w:ascii="Times New Roman" w:hAnsi="Times New Roman"/>
                <w:sz w:val="24"/>
              </w:rPr>
            </w:pPr>
            <w:r>
              <w:rPr>
                <w:rFonts w:ascii="Times New Roman" w:hAnsi="Times New Roman"/>
                <w:sz w:val="24"/>
              </w:rPr>
              <w:t>13</w:t>
            </w:r>
          </w:p>
        </w:tc>
        <w:tc>
          <w:tcPr>
            <w:tcW w:w="1850" w:type="dxa"/>
            <w:vMerge w:val="restart"/>
            <w:shd w:val="clear" w:color="auto" w:fill="auto"/>
            <w:vAlign w:val="center"/>
          </w:tcPr>
          <w:p w14:paraId="630009D8" w14:textId="77777777" w:rsidR="007453EC" w:rsidRPr="000B6B22" w:rsidRDefault="007453EC">
            <w:pPr>
              <w:spacing w:before="0"/>
              <w:rPr>
                <w:rFonts w:ascii="Times New Roman" w:hAnsi="Times New Roman"/>
                <w:sz w:val="24"/>
              </w:rPr>
            </w:pPr>
            <w:r>
              <w:rPr>
                <w:rFonts w:ascii="Times New Roman" w:hAnsi="Times New Roman"/>
                <w:sz w:val="24"/>
              </w:rPr>
              <w:t>Μερική εξαίρεση από το ανώτατο όριο για τις εισροές (άρθρο 33 παράγραφοι 2 έως 5)</w:t>
            </w:r>
          </w:p>
        </w:tc>
        <w:tc>
          <w:tcPr>
            <w:tcW w:w="1850" w:type="dxa"/>
            <w:shd w:val="clear" w:color="auto" w:fill="auto"/>
            <w:vAlign w:val="center"/>
          </w:tcPr>
          <w:p w14:paraId="1386869A" w14:textId="77777777" w:rsidR="007453EC" w:rsidRPr="000B6B22" w:rsidRDefault="007453EC" w:rsidP="009D4EFF">
            <w:pPr>
              <w:spacing w:before="0"/>
              <w:rPr>
                <w:rFonts w:ascii="Times New Roman" w:hAnsi="Times New Roman"/>
                <w:sz w:val="24"/>
              </w:rPr>
            </w:pPr>
            <w:r>
              <w:rPr>
                <w:rFonts w:ascii="Times New Roman" w:hAnsi="Times New Roman"/>
                <w:sz w:val="24"/>
              </w:rPr>
              <w:t># 13.1</w:t>
            </w:r>
          </w:p>
        </w:tc>
        <w:tc>
          <w:tcPr>
            <w:tcW w:w="1850" w:type="dxa"/>
            <w:shd w:val="clear" w:color="auto" w:fill="auto"/>
            <w:vAlign w:val="center"/>
          </w:tcPr>
          <w:p w14:paraId="2AE68156" w14:textId="77777777" w:rsidR="007453EC" w:rsidRPr="000B6B22" w:rsidRDefault="007453EC">
            <w:pPr>
              <w:spacing w:before="0"/>
              <w:rPr>
                <w:rFonts w:ascii="Times New Roman" w:hAnsi="Times New Roman"/>
                <w:sz w:val="24"/>
              </w:rPr>
            </w:pPr>
            <w:r>
              <w:rPr>
                <w:rFonts w:ascii="Times New Roman" w:hAnsi="Times New Roman"/>
                <w:sz w:val="24"/>
              </w:rPr>
              <w:t>Μέρος των εισροών που εξαιρείται από το ανώτατο όριο στις εισροές</w:t>
            </w:r>
          </w:p>
        </w:tc>
        <w:tc>
          <w:tcPr>
            <w:tcW w:w="1400" w:type="dxa"/>
            <w:shd w:val="clear" w:color="auto" w:fill="BFBFBF"/>
            <w:vAlign w:val="center"/>
          </w:tcPr>
          <w:p w14:paraId="67FC8D57" w14:textId="708B6572"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EC73F49" w14:textId="77777777" w:rsidR="007453EC" w:rsidRPr="000B6B22" w:rsidRDefault="007453EC" w:rsidP="009D4EFF">
            <w:pPr>
              <w:spacing w:before="0"/>
              <w:rPr>
                <w:rFonts w:ascii="Times New Roman" w:hAnsi="Times New Roman"/>
                <w:b/>
                <w:sz w:val="24"/>
              </w:rPr>
            </w:pPr>
            <w:r>
              <w:rPr>
                <w:rFonts w:ascii="Times New Roman" w:hAnsi="Times New Roman"/>
                <w:sz w:val="24"/>
              </w:rPr>
              <w:t># 14</w:t>
            </w:r>
          </w:p>
        </w:tc>
      </w:tr>
      <w:tr w:rsidR="00B47B7D" w:rsidRPr="000B6B22" w14:paraId="39035E68" w14:textId="77777777" w:rsidTr="00CB45E9">
        <w:trPr>
          <w:jc w:val="center"/>
        </w:trPr>
        <w:tc>
          <w:tcPr>
            <w:tcW w:w="529" w:type="dxa"/>
            <w:vMerge/>
            <w:shd w:val="clear" w:color="auto" w:fill="auto"/>
            <w:vAlign w:val="center"/>
          </w:tcPr>
          <w:p w14:paraId="011E638B"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05DD881E" w14:textId="77777777" w:rsidR="007453EC" w:rsidRPr="000B6B22" w:rsidRDefault="007453EC" w:rsidP="009D4EFF">
            <w:pPr>
              <w:spacing w:before="0"/>
              <w:rPr>
                <w:rFonts w:ascii="Times New Roman" w:hAnsi="Times New Roman"/>
                <w:sz w:val="24"/>
              </w:rPr>
            </w:pPr>
          </w:p>
        </w:tc>
        <w:tc>
          <w:tcPr>
            <w:tcW w:w="1850" w:type="dxa"/>
            <w:shd w:val="clear" w:color="auto" w:fill="auto"/>
            <w:vAlign w:val="center"/>
          </w:tcPr>
          <w:p w14:paraId="1EBB985B" w14:textId="77777777" w:rsidR="007453EC" w:rsidRPr="000B6B22" w:rsidRDefault="007453EC" w:rsidP="009D4EFF">
            <w:pPr>
              <w:spacing w:before="0"/>
              <w:rPr>
                <w:rFonts w:ascii="Times New Roman" w:hAnsi="Times New Roman"/>
                <w:sz w:val="24"/>
              </w:rPr>
            </w:pPr>
            <w:r>
              <w:rPr>
                <w:rFonts w:ascii="Times New Roman" w:hAnsi="Times New Roman"/>
                <w:sz w:val="24"/>
              </w:rPr>
              <w:t># 13.2</w:t>
            </w:r>
          </w:p>
        </w:tc>
        <w:tc>
          <w:tcPr>
            <w:tcW w:w="1850" w:type="dxa"/>
            <w:shd w:val="clear" w:color="auto" w:fill="auto"/>
            <w:vAlign w:val="center"/>
          </w:tcPr>
          <w:p w14:paraId="1DD0958A" w14:textId="77777777" w:rsidR="007453EC" w:rsidRPr="000B6B22" w:rsidRDefault="007453EC" w:rsidP="009D4EFF">
            <w:pPr>
              <w:spacing w:before="0"/>
              <w:rPr>
                <w:rFonts w:ascii="Times New Roman" w:hAnsi="Times New Roman"/>
                <w:sz w:val="24"/>
              </w:rPr>
            </w:pPr>
            <w:r>
              <w:rPr>
                <w:rFonts w:ascii="Times New Roman" w:hAnsi="Times New Roman"/>
                <w:sz w:val="24"/>
              </w:rPr>
              <w:t>Μέρος των εισροών που δεν εξαιρείται από το ανώτατο όριο στις εισροές</w:t>
            </w:r>
          </w:p>
        </w:tc>
        <w:tc>
          <w:tcPr>
            <w:tcW w:w="1400" w:type="dxa"/>
            <w:shd w:val="clear" w:color="auto" w:fill="BFBFBF"/>
            <w:vAlign w:val="center"/>
          </w:tcPr>
          <w:p w14:paraId="66058557" w14:textId="2EBFADBE" w:rsidR="007453EC" w:rsidRPr="000B6B22" w:rsidRDefault="007453EC" w:rsidP="009D4EFF">
            <w:pPr>
              <w:widowControl w:val="0"/>
              <w:spacing w:before="0"/>
              <w:rPr>
                <w:rFonts w:ascii="Times New Roman" w:hAnsi="Times New Roman"/>
                <w:sz w:val="24"/>
              </w:rPr>
            </w:pPr>
          </w:p>
        </w:tc>
        <w:tc>
          <w:tcPr>
            <w:tcW w:w="2127" w:type="dxa"/>
            <w:shd w:val="clear" w:color="auto" w:fill="auto"/>
            <w:vAlign w:val="center"/>
          </w:tcPr>
          <w:p w14:paraId="7CD9579F"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16</w:t>
            </w:r>
          </w:p>
        </w:tc>
      </w:tr>
      <w:tr w:rsidR="00B47B7D" w:rsidRPr="000B6B22" w14:paraId="5AE30016" w14:textId="77777777" w:rsidTr="00454544">
        <w:trPr>
          <w:jc w:val="center"/>
        </w:trPr>
        <w:tc>
          <w:tcPr>
            <w:tcW w:w="529" w:type="dxa"/>
            <w:vMerge w:val="restart"/>
            <w:shd w:val="clear" w:color="auto" w:fill="auto"/>
            <w:vAlign w:val="center"/>
          </w:tcPr>
          <w:p w14:paraId="51498822" w14:textId="77777777" w:rsidR="007453EC" w:rsidRPr="000B6B22" w:rsidRDefault="007453EC" w:rsidP="009D4EFF">
            <w:pPr>
              <w:spacing w:before="0"/>
              <w:rPr>
                <w:rFonts w:ascii="Times New Roman" w:hAnsi="Times New Roman"/>
                <w:sz w:val="24"/>
              </w:rPr>
            </w:pPr>
            <w:r>
              <w:rPr>
                <w:rFonts w:ascii="Times New Roman" w:hAnsi="Times New Roman"/>
                <w:sz w:val="24"/>
              </w:rPr>
              <w:t>14</w:t>
            </w:r>
          </w:p>
        </w:tc>
        <w:tc>
          <w:tcPr>
            <w:tcW w:w="5550" w:type="dxa"/>
            <w:gridSpan w:val="3"/>
            <w:vMerge w:val="restart"/>
            <w:shd w:val="clear" w:color="auto" w:fill="auto"/>
            <w:vAlign w:val="center"/>
          </w:tcPr>
          <w:p w14:paraId="0CF85DB7" w14:textId="77777777" w:rsidR="007453EC" w:rsidRPr="000B6B22" w:rsidRDefault="007453EC">
            <w:pPr>
              <w:spacing w:before="0"/>
              <w:rPr>
                <w:rFonts w:ascii="Times New Roman" w:hAnsi="Times New Roman"/>
                <w:sz w:val="24"/>
              </w:rPr>
            </w:pPr>
            <w:r>
              <w:rPr>
                <w:rFonts w:ascii="Times New Roman" w:hAnsi="Times New Roman"/>
                <w:sz w:val="24"/>
              </w:rPr>
              <w:t>Μέρος των εισροών που εξαιρείται από το ανώτατο όριο του 75 % στις εισροές και υπόκειται στο ανώτατο όριο του 90 % στις εισροές (άρθρο 33 παράγραφοι 4 και 5)</w:t>
            </w:r>
          </w:p>
        </w:tc>
        <w:tc>
          <w:tcPr>
            <w:tcW w:w="1400" w:type="dxa"/>
            <w:shd w:val="clear" w:color="auto" w:fill="auto"/>
            <w:vAlign w:val="center"/>
          </w:tcPr>
          <w:p w14:paraId="2F2FF565" w14:textId="77777777" w:rsidR="007453EC" w:rsidRPr="000B6B22" w:rsidRDefault="007453EC" w:rsidP="009D4EFF">
            <w:pPr>
              <w:spacing w:before="0"/>
              <w:rPr>
                <w:rFonts w:ascii="Times New Roman" w:hAnsi="Times New Roman"/>
                <w:sz w:val="24"/>
              </w:rPr>
            </w:pPr>
            <w:r>
              <w:rPr>
                <w:rFonts w:ascii="Times New Roman" w:hAnsi="Times New Roman"/>
                <w:sz w:val="24"/>
              </w:rPr>
              <w:t>Ναι</w:t>
            </w:r>
          </w:p>
        </w:tc>
        <w:tc>
          <w:tcPr>
            <w:tcW w:w="2127" w:type="dxa"/>
            <w:shd w:val="clear" w:color="auto" w:fill="auto"/>
            <w:vAlign w:val="center"/>
          </w:tcPr>
          <w:p w14:paraId="5DE5FB35" w14:textId="77777777" w:rsidR="007453EC" w:rsidRPr="000B6B22" w:rsidRDefault="007453EC" w:rsidP="009D4EFF">
            <w:pPr>
              <w:spacing w:before="0"/>
              <w:rPr>
                <w:rFonts w:ascii="Times New Roman" w:hAnsi="Times New Roman"/>
                <w:sz w:val="24"/>
              </w:rPr>
            </w:pPr>
            <w:r>
              <w:rPr>
                <w:rFonts w:ascii="Times New Roman" w:hAnsi="Times New Roman"/>
                <w:sz w:val="24"/>
              </w:rPr>
              <w:t># 18</w:t>
            </w:r>
          </w:p>
        </w:tc>
      </w:tr>
      <w:tr w:rsidR="007453EC" w:rsidRPr="000B6B22" w14:paraId="656C05BD" w14:textId="77777777" w:rsidTr="00454544">
        <w:trPr>
          <w:jc w:val="center"/>
        </w:trPr>
        <w:tc>
          <w:tcPr>
            <w:tcW w:w="529" w:type="dxa"/>
            <w:vMerge/>
            <w:shd w:val="clear" w:color="auto" w:fill="auto"/>
            <w:vAlign w:val="center"/>
          </w:tcPr>
          <w:p w14:paraId="5187320B"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4A97B8F8"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399FEE4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Όχι</w:t>
            </w:r>
          </w:p>
        </w:tc>
        <w:tc>
          <w:tcPr>
            <w:tcW w:w="2127" w:type="dxa"/>
            <w:shd w:val="clear" w:color="auto" w:fill="auto"/>
            <w:vAlign w:val="center"/>
          </w:tcPr>
          <w:p w14:paraId="478571D0"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19</w:t>
            </w:r>
          </w:p>
        </w:tc>
      </w:tr>
    </w:tbl>
    <w:p w14:paraId="7C2500F1" w14:textId="77777777" w:rsidR="007453EC" w:rsidRPr="000B6B22" w:rsidRDefault="007453EC">
      <w:pPr>
        <w:spacing w:before="0"/>
        <w:rPr>
          <w:rFonts w:ascii="Times New Roman" w:hAnsi="Times New Roman"/>
          <w:sz w:val="24"/>
        </w:rPr>
      </w:pP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B47B7D" w:rsidRPr="000B6B22" w14:paraId="4524AA33" w14:textId="77777777" w:rsidTr="00454544">
        <w:trPr>
          <w:jc w:val="center"/>
        </w:trPr>
        <w:tc>
          <w:tcPr>
            <w:tcW w:w="529" w:type="dxa"/>
            <w:vMerge w:val="restart"/>
            <w:shd w:val="clear" w:color="auto" w:fill="auto"/>
            <w:vAlign w:val="center"/>
          </w:tcPr>
          <w:p w14:paraId="32A22339" w14:textId="77777777" w:rsidR="007453EC" w:rsidRPr="000B6B22" w:rsidRDefault="007453EC" w:rsidP="009D4EFF">
            <w:pPr>
              <w:spacing w:before="0"/>
              <w:rPr>
                <w:rFonts w:ascii="Times New Roman" w:hAnsi="Times New Roman"/>
                <w:sz w:val="24"/>
              </w:rPr>
            </w:pPr>
            <w:r>
              <w:rPr>
                <w:rFonts w:ascii="Times New Roman" w:hAnsi="Times New Roman"/>
                <w:sz w:val="24"/>
              </w:rPr>
              <w:t>15</w:t>
            </w:r>
          </w:p>
        </w:tc>
        <w:tc>
          <w:tcPr>
            <w:tcW w:w="5550" w:type="dxa"/>
            <w:gridSpan w:val="3"/>
            <w:vMerge w:val="restart"/>
            <w:shd w:val="clear" w:color="auto" w:fill="auto"/>
            <w:vAlign w:val="center"/>
          </w:tcPr>
          <w:p w14:paraId="112E1D59" w14:textId="77777777" w:rsidR="007453EC" w:rsidRPr="000B6B22" w:rsidRDefault="007453EC">
            <w:pPr>
              <w:spacing w:before="0"/>
              <w:rPr>
                <w:rFonts w:ascii="Times New Roman" w:hAnsi="Times New Roman"/>
                <w:sz w:val="24"/>
              </w:rPr>
            </w:pPr>
            <w:r>
              <w:rPr>
                <w:rFonts w:ascii="Times New Roman" w:hAnsi="Times New Roman"/>
                <w:sz w:val="24"/>
              </w:rPr>
              <w:t>Εισροές που υπόκεινται στο ανώτατο όριο του 75 % για τις εισροές (άρθρο 33 παράγραφος 1)</w:t>
            </w:r>
          </w:p>
        </w:tc>
        <w:tc>
          <w:tcPr>
            <w:tcW w:w="1400" w:type="dxa"/>
            <w:shd w:val="clear" w:color="auto" w:fill="auto"/>
            <w:vAlign w:val="center"/>
          </w:tcPr>
          <w:p w14:paraId="3128986E" w14:textId="77777777" w:rsidR="007453EC" w:rsidRPr="000B6B22" w:rsidRDefault="007453EC" w:rsidP="009D4EFF">
            <w:pPr>
              <w:spacing w:before="0"/>
              <w:rPr>
                <w:rFonts w:ascii="Times New Roman" w:hAnsi="Times New Roman"/>
                <w:sz w:val="24"/>
              </w:rPr>
            </w:pPr>
            <w:r>
              <w:rPr>
                <w:rFonts w:ascii="Times New Roman" w:hAnsi="Times New Roman"/>
                <w:sz w:val="24"/>
              </w:rPr>
              <w:t>Ναι</w:t>
            </w:r>
          </w:p>
        </w:tc>
        <w:tc>
          <w:tcPr>
            <w:tcW w:w="2127" w:type="dxa"/>
            <w:shd w:val="clear" w:color="auto" w:fill="auto"/>
            <w:vAlign w:val="center"/>
          </w:tcPr>
          <w:p w14:paraId="7D6C772B" w14:textId="77777777" w:rsidR="007453EC" w:rsidRPr="000B6B22" w:rsidRDefault="007453EC" w:rsidP="009D4EFF">
            <w:pPr>
              <w:spacing w:before="0"/>
              <w:rPr>
                <w:rFonts w:ascii="Times New Roman" w:hAnsi="Times New Roman"/>
                <w:sz w:val="24"/>
              </w:rPr>
            </w:pPr>
            <w:r>
              <w:rPr>
                <w:rFonts w:ascii="Times New Roman" w:hAnsi="Times New Roman"/>
                <w:sz w:val="24"/>
              </w:rPr>
              <w:t># 16</w:t>
            </w:r>
          </w:p>
        </w:tc>
      </w:tr>
      <w:tr w:rsidR="00B47B7D" w:rsidRPr="000B6B22" w14:paraId="73A9C29E" w14:textId="77777777" w:rsidTr="00454544">
        <w:trPr>
          <w:jc w:val="center"/>
        </w:trPr>
        <w:tc>
          <w:tcPr>
            <w:tcW w:w="529" w:type="dxa"/>
            <w:vMerge/>
            <w:shd w:val="clear" w:color="auto" w:fill="auto"/>
            <w:vAlign w:val="center"/>
          </w:tcPr>
          <w:p w14:paraId="2AA250DA"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30048B5F"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39637CA0"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Όχι</w:t>
            </w:r>
          </w:p>
        </w:tc>
        <w:tc>
          <w:tcPr>
            <w:tcW w:w="2127" w:type="dxa"/>
            <w:shd w:val="clear" w:color="auto" w:fill="auto"/>
            <w:vAlign w:val="center"/>
          </w:tcPr>
          <w:p w14:paraId="38B0DA0C"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17</w:t>
            </w:r>
          </w:p>
        </w:tc>
      </w:tr>
      <w:tr w:rsidR="00B47B7D" w:rsidRPr="000B6B22" w14:paraId="2440A28D" w14:textId="77777777" w:rsidTr="00CB45E9">
        <w:trPr>
          <w:trHeight w:val="134"/>
          <w:jc w:val="center"/>
        </w:trPr>
        <w:tc>
          <w:tcPr>
            <w:tcW w:w="529" w:type="dxa"/>
            <w:vMerge w:val="restart"/>
            <w:shd w:val="clear" w:color="auto" w:fill="auto"/>
            <w:vAlign w:val="center"/>
          </w:tcPr>
          <w:p w14:paraId="529C1372" w14:textId="77777777" w:rsidR="007453EC" w:rsidRPr="000B6B22" w:rsidRDefault="007453EC" w:rsidP="009D4EFF">
            <w:pPr>
              <w:spacing w:before="0"/>
              <w:rPr>
                <w:rFonts w:ascii="Times New Roman" w:hAnsi="Times New Roman"/>
                <w:sz w:val="24"/>
              </w:rPr>
            </w:pPr>
            <w:r>
              <w:rPr>
                <w:rFonts w:ascii="Times New Roman" w:hAnsi="Times New Roman"/>
                <w:sz w:val="24"/>
              </w:rPr>
              <w:t>16</w:t>
            </w:r>
          </w:p>
        </w:tc>
        <w:tc>
          <w:tcPr>
            <w:tcW w:w="1850" w:type="dxa"/>
            <w:vMerge w:val="restart"/>
            <w:shd w:val="clear" w:color="auto" w:fill="auto"/>
            <w:vAlign w:val="center"/>
          </w:tcPr>
          <w:p w14:paraId="48A2D38E" w14:textId="77777777" w:rsidR="007453EC" w:rsidRPr="000B6B22" w:rsidRDefault="007453EC">
            <w:pPr>
              <w:spacing w:before="0"/>
              <w:rPr>
                <w:rFonts w:ascii="Times New Roman" w:hAnsi="Times New Roman"/>
                <w:sz w:val="24"/>
              </w:rPr>
            </w:pPr>
            <w:r>
              <w:rPr>
                <w:rFonts w:ascii="Times New Roman" w:hAnsi="Times New Roman"/>
                <w:sz w:val="24"/>
              </w:rPr>
              <w:t>Εισροές που υπόκεινται στο ανώτατο όριο του 75 % για τις εισροές (άρθρο 33 παράγραφος 1)</w:t>
            </w:r>
          </w:p>
        </w:tc>
        <w:tc>
          <w:tcPr>
            <w:tcW w:w="1850" w:type="dxa"/>
            <w:shd w:val="clear" w:color="auto" w:fill="auto"/>
            <w:vAlign w:val="center"/>
          </w:tcPr>
          <w:p w14:paraId="299AD1F1" w14:textId="77777777" w:rsidR="007453EC" w:rsidRPr="000B6B22" w:rsidRDefault="007453EC" w:rsidP="009D4EFF">
            <w:pPr>
              <w:spacing w:before="0"/>
              <w:rPr>
                <w:rFonts w:ascii="Times New Roman" w:hAnsi="Times New Roman"/>
                <w:sz w:val="24"/>
              </w:rPr>
            </w:pPr>
            <w:r>
              <w:rPr>
                <w:rFonts w:ascii="Times New Roman" w:hAnsi="Times New Roman"/>
                <w:sz w:val="24"/>
              </w:rPr>
              <w:t># 16.1</w:t>
            </w:r>
          </w:p>
        </w:tc>
        <w:tc>
          <w:tcPr>
            <w:tcW w:w="1850" w:type="dxa"/>
            <w:shd w:val="clear" w:color="auto" w:fill="auto"/>
            <w:vAlign w:val="center"/>
          </w:tcPr>
          <w:p w14:paraId="3374DED9" w14:textId="77777777" w:rsidR="007453EC" w:rsidRPr="000B6B22" w:rsidRDefault="007453EC">
            <w:pPr>
              <w:spacing w:before="0"/>
              <w:rPr>
                <w:rFonts w:ascii="Times New Roman" w:hAnsi="Times New Roman"/>
                <w:sz w:val="24"/>
              </w:rPr>
            </w:pPr>
            <w:r>
              <w:rPr>
                <w:rFonts w:ascii="Times New Roman" w:hAnsi="Times New Roman"/>
                <w:sz w:val="24"/>
              </w:rPr>
              <w:t>Οφειλόμενα ποσά</w:t>
            </w:r>
          </w:p>
        </w:tc>
        <w:tc>
          <w:tcPr>
            <w:tcW w:w="1400" w:type="dxa"/>
            <w:shd w:val="clear" w:color="auto" w:fill="BFBFBF"/>
            <w:vAlign w:val="center"/>
          </w:tcPr>
          <w:p w14:paraId="2595EB92" w14:textId="0A791816"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037B177C" w14:textId="27A0AFCA" w:rsidR="007453EC" w:rsidRPr="000B6B22" w:rsidRDefault="00575F76" w:rsidP="009D4EFF">
            <w:pPr>
              <w:spacing w:before="0"/>
              <w:rPr>
                <w:rFonts w:ascii="Times New Roman" w:hAnsi="Times New Roman"/>
                <w:sz w:val="24"/>
              </w:rPr>
            </w:pPr>
            <w:r>
              <w:rPr>
                <w:rFonts w:ascii="Times New Roman" w:hAnsi="Times New Roman"/>
                <w:sz w:val="24"/>
              </w:rPr>
              <w:t>Στήλη 0010</w:t>
            </w:r>
          </w:p>
        </w:tc>
      </w:tr>
      <w:tr w:rsidR="00B47B7D" w:rsidRPr="000B6B22" w14:paraId="0B74FD2F" w14:textId="77777777" w:rsidTr="00CB45E9">
        <w:trPr>
          <w:trHeight w:val="131"/>
          <w:jc w:val="center"/>
        </w:trPr>
        <w:tc>
          <w:tcPr>
            <w:tcW w:w="529" w:type="dxa"/>
            <w:vMerge/>
            <w:shd w:val="clear" w:color="auto" w:fill="auto"/>
            <w:vAlign w:val="center"/>
          </w:tcPr>
          <w:p w14:paraId="5EA8BF08"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AB57E82"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6FC30A94" w14:textId="77777777" w:rsidR="007453EC" w:rsidRPr="000B6B22" w:rsidRDefault="007453EC" w:rsidP="009D4EFF">
            <w:pPr>
              <w:spacing w:before="0"/>
              <w:rPr>
                <w:rFonts w:ascii="Times New Roman" w:hAnsi="Times New Roman"/>
                <w:sz w:val="24"/>
              </w:rPr>
            </w:pPr>
            <w:r>
              <w:rPr>
                <w:rFonts w:ascii="Times New Roman" w:hAnsi="Times New Roman"/>
                <w:sz w:val="24"/>
              </w:rPr>
              <w:t># 16.2</w:t>
            </w:r>
          </w:p>
        </w:tc>
        <w:tc>
          <w:tcPr>
            <w:tcW w:w="1850" w:type="dxa"/>
            <w:shd w:val="clear" w:color="auto" w:fill="auto"/>
            <w:vAlign w:val="center"/>
          </w:tcPr>
          <w:p w14:paraId="2879C94D" w14:textId="77777777" w:rsidR="007453EC" w:rsidRPr="000B6B22" w:rsidRDefault="007453EC">
            <w:pPr>
              <w:spacing w:before="0"/>
              <w:rPr>
                <w:rFonts w:ascii="Times New Roman" w:hAnsi="Times New Roman"/>
                <w:sz w:val="24"/>
              </w:rPr>
            </w:pPr>
            <w:r>
              <w:rPr>
                <w:rFonts w:ascii="Times New Roman" w:hAnsi="Times New Roman"/>
                <w:sz w:val="24"/>
              </w:rPr>
              <w:t>Αγοραία αξία της λαμβανόμενης εξασφάλισης</w:t>
            </w:r>
          </w:p>
        </w:tc>
        <w:tc>
          <w:tcPr>
            <w:tcW w:w="1400" w:type="dxa"/>
            <w:shd w:val="clear" w:color="auto" w:fill="BFBFBF"/>
            <w:vAlign w:val="center"/>
          </w:tcPr>
          <w:p w14:paraId="632C5A6C" w14:textId="629DB119"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795DE11" w14:textId="5A84AF73" w:rsidR="007453EC" w:rsidRPr="000B6B22" w:rsidRDefault="00575F76" w:rsidP="009D4EFF">
            <w:pPr>
              <w:spacing w:before="0"/>
              <w:rPr>
                <w:rFonts w:ascii="Times New Roman" w:hAnsi="Times New Roman"/>
                <w:sz w:val="24"/>
              </w:rPr>
            </w:pPr>
            <w:r>
              <w:rPr>
                <w:rFonts w:ascii="Times New Roman" w:hAnsi="Times New Roman"/>
                <w:sz w:val="24"/>
              </w:rPr>
              <w:t>Στήλη 0040</w:t>
            </w:r>
          </w:p>
        </w:tc>
      </w:tr>
      <w:tr w:rsidR="00B47B7D" w:rsidRPr="000B6B22" w14:paraId="07B8475E" w14:textId="77777777" w:rsidTr="00CB45E9">
        <w:trPr>
          <w:trHeight w:val="131"/>
          <w:jc w:val="center"/>
        </w:trPr>
        <w:tc>
          <w:tcPr>
            <w:tcW w:w="529" w:type="dxa"/>
            <w:vMerge/>
            <w:shd w:val="clear" w:color="auto" w:fill="auto"/>
            <w:vAlign w:val="center"/>
          </w:tcPr>
          <w:p w14:paraId="2221A0BC"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7F2009A9"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B1F8F89" w14:textId="77777777" w:rsidR="007453EC" w:rsidRPr="000B6B22" w:rsidRDefault="007453EC" w:rsidP="009D4EFF">
            <w:pPr>
              <w:spacing w:before="0"/>
              <w:rPr>
                <w:rFonts w:ascii="Times New Roman" w:hAnsi="Times New Roman"/>
                <w:sz w:val="24"/>
              </w:rPr>
            </w:pPr>
            <w:r>
              <w:rPr>
                <w:rFonts w:ascii="Times New Roman" w:hAnsi="Times New Roman"/>
                <w:sz w:val="24"/>
              </w:rPr>
              <w:t># 16.3</w:t>
            </w:r>
          </w:p>
        </w:tc>
        <w:tc>
          <w:tcPr>
            <w:tcW w:w="1850" w:type="dxa"/>
            <w:shd w:val="clear" w:color="auto" w:fill="auto"/>
            <w:vAlign w:val="center"/>
          </w:tcPr>
          <w:p w14:paraId="54D2270D" w14:textId="77777777" w:rsidR="007453EC" w:rsidRPr="000B6B22" w:rsidRDefault="007453EC">
            <w:pPr>
              <w:spacing w:before="0"/>
              <w:rPr>
                <w:rFonts w:ascii="Times New Roman" w:hAnsi="Times New Roman"/>
                <w:sz w:val="24"/>
              </w:rPr>
            </w:pPr>
            <w:r>
              <w:rPr>
                <w:rFonts w:ascii="Times New Roman" w:hAnsi="Times New Roman"/>
                <w:sz w:val="24"/>
              </w:rPr>
              <w:t>Εφαρμοστέος συντελεστής στάθμισης</w:t>
            </w:r>
          </w:p>
        </w:tc>
        <w:tc>
          <w:tcPr>
            <w:tcW w:w="1400" w:type="dxa"/>
            <w:shd w:val="clear" w:color="auto" w:fill="BFBFBF"/>
            <w:vAlign w:val="center"/>
          </w:tcPr>
          <w:p w14:paraId="1D3104FA" w14:textId="569FF342"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7C98A9D5" w14:textId="2F4BAB2A" w:rsidR="007453EC" w:rsidRPr="000B6B22" w:rsidRDefault="00575F76" w:rsidP="009D4EFF">
            <w:pPr>
              <w:spacing w:before="0"/>
              <w:rPr>
                <w:rFonts w:ascii="Times New Roman" w:hAnsi="Times New Roman"/>
                <w:sz w:val="24"/>
              </w:rPr>
            </w:pPr>
            <w:r>
              <w:rPr>
                <w:rFonts w:ascii="Times New Roman" w:hAnsi="Times New Roman"/>
                <w:sz w:val="24"/>
              </w:rPr>
              <w:t>Στήλη 0080</w:t>
            </w:r>
          </w:p>
        </w:tc>
      </w:tr>
      <w:tr w:rsidR="00B47B7D" w:rsidRPr="000B6B22" w14:paraId="01860333" w14:textId="77777777" w:rsidTr="00CB45E9">
        <w:trPr>
          <w:trHeight w:val="131"/>
          <w:jc w:val="center"/>
        </w:trPr>
        <w:tc>
          <w:tcPr>
            <w:tcW w:w="529" w:type="dxa"/>
            <w:vMerge/>
            <w:shd w:val="clear" w:color="auto" w:fill="auto"/>
            <w:vAlign w:val="center"/>
          </w:tcPr>
          <w:p w14:paraId="4396A5B5"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55FF250"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4CDFAD92" w14:textId="77777777" w:rsidR="007453EC" w:rsidRPr="000B6B22" w:rsidRDefault="007453EC" w:rsidP="009D4EFF">
            <w:pPr>
              <w:spacing w:before="0"/>
              <w:rPr>
                <w:rFonts w:ascii="Times New Roman" w:hAnsi="Times New Roman"/>
                <w:sz w:val="24"/>
              </w:rPr>
            </w:pPr>
            <w:r>
              <w:rPr>
                <w:rFonts w:ascii="Times New Roman" w:hAnsi="Times New Roman"/>
                <w:sz w:val="24"/>
              </w:rPr>
              <w:t># 16.4</w:t>
            </w:r>
          </w:p>
        </w:tc>
        <w:tc>
          <w:tcPr>
            <w:tcW w:w="1850" w:type="dxa"/>
            <w:shd w:val="clear" w:color="auto" w:fill="auto"/>
            <w:vAlign w:val="center"/>
          </w:tcPr>
          <w:p w14:paraId="3C1290F5" w14:textId="0EEE2A95" w:rsidR="007453EC" w:rsidRPr="000B6B22" w:rsidRDefault="007453EC">
            <w:pPr>
              <w:spacing w:before="0"/>
              <w:rPr>
                <w:rFonts w:ascii="Times New Roman" w:hAnsi="Times New Roman"/>
                <w:sz w:val="24"/>
              </w:rPr>
            </w:pPr>
            <w:r>
              <w:rPr>
                <w:rFonts w:ascii="Times New Roman" w:hAnsi="Times New Roman"/>
                <w:sz w:val="24"/>
              </w:rPr>
              <w:t xml:space="preserve">Αξία της λαμβανόμενης εξασφάλισης </w:t>
            </w:r>
            <w:r>
              <w:rPr>
                <w:rFonts w:ascii="Times New Roman" w:hAnsi="Times New Roman"/>
                <w:sz w:val="24"/>
              </w:rPr>
              <w:lastRenderedPageBreak/>
              <w:t>σύμφωνα με το άρθρο 9</w:t>
            </w:r>
          </w:p>
          <w:p w14:paraId="2F4FD575" w14:textId="77777777" w:rsidR="007453EC" w:rsidRPr="000B6B22" w:rsidRDefault="007453EC">
            <w:pPr>
              <w:spacing w:before="0"/>
              <w:rPr>
                <w:rFonts w:ascii="Times New Roman" w:hAnsi="Times New Roman"/>
                <w:sz w:val="24"/>
              </w:rPr>
            </w:pPr>
          </w:p>
          <w:p w14:paraId="24BCA3CD" w14:textId="77777777" w:rsidR="007453EC" w:rsidRPr="000B6B22" w:rsidRDefault="007453EC">
            <w:pPr>
              <w:spacing w:before="0"/>
              <w:rPr>
                <w:rFonts w:ascii="Times New Roman" w:hAnsi="Times New Roman"/>
                <w:sz w:val="24"/>
              </w:rPr>
            </w:pPr>
            <w:r>
              <w:rPr>
                <w:rFonts w:ascii="Times New Roman" w:hAnsi="Times New Roman"/>
                <w:sz w:val="24"/>
              </w:rPr>
              <w:t>[μόνον εάν η λαμβανόμενη εξασφάλιση πληροί τις λειτουργικές απαιτήσεις]</w:t>
            </w:r>
          </w:p>
          <w:p w14:paraId="73E4AF15" w14:textId="77777777" w:rsidR="007453EC" w:rsidRPr="000B6B22" w:rsidRDefault="007453EC">
            <w:pPr>
              <w:spacing w:before="0"/>
              <w:rPr>
                <w:rFonts w:ascii="Times New Roman" w:hAnsi="Times New Roman"/>
                <w:sz w:val="24"/>
              </w:rPr>
            </w:pPr>
          </w:p>
        </w:tc>
        <w:tc>
          <w:tcPr>
            <w:tcW w:w="1400" w:type="dxa"/>
            <w:shd w:val="clear" w:color="auto" w:fill="BFBFBF"/>
            <w:vAlign w:val="center"/>
          </w:tcPr>
          <w:p w14:paraId="271DC100" w14:textId="51440963"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B81E6F4" w14:textId="04F242AD" w:rsidR="007453EC" w:rsidRPr="000B6B22" w:rsidRDefault="00575F76" w:rsidP="009D4EFF">
            <w:pPr>
              <w:spacing w:before="0"/>
              <w:rPr>
                <w:rFonts w:ascii="Times New Roman" w:hAnsi="Times New Roman"/>
                <w:sz w:val="24"/>
              </w:rPr>
            </w:pPr>
            <w:r>
              <w:rPr>
                <w:rFonts w:ascii="Times New Roman" w:hAnsi="Times New Roman"/>
                <w:sz w:val="24"/>
              </w:rPr>
              <w:t>Στήλη 0110</w:t>
            </w:r>
          </w:p>
        </w:tc>
      </w:tr>
      <w:tr w:rsidR="00B47B7D" w:rsidRPr="000B6B22" w14:paraId="47813B86" w14:textId="77777777" w:rsidTr="00CB45E9">
        <w:trPr>
          <w:trHeight w:val="131"/>
          <w:jc w:val="center"/>
        </w:trPr>
        <w:tc>
          <w:tcPr>
            <w:tcW w:w="529" w:type="dxa"/>
            <w:vMerge/>
            <w:shd w:val="clear" w:color="auto" w:fill="auto"/>
            <w:vAlign w:val="center"/>
          </w:tcPr>
          <w:p w14:paraId="0D3565DE"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4919AD0"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70ED067F" w14:textId="77777777" w:rsidR="007453EC" w:rsidRPr="000B6B22" w:rsidRDefault="007453EC" w:rsidP="009D4EFF">
            <w:pPr>
              <w:spacing w:before="0"/>
              <w:rPr>
                <w:rFonts w:ascii="Times New Roman" w:hAnsi="Times New Roman"/>
                <w:sz w:val="24"/>
              </w:rPr>
            </w:pPr>
            <w:r>
              <w:rPr>
                <w:rFonts w:ascii="Times New Roman" w:hAnsi="Times New Roman"/>
                <w:sz w:val="24"/>
              </w:rPr>
              <w:t># 16.5</w:t>
            </w:r>
          </w:p>
        </w:tc>
        <w:tc>
          <w:tcPr>
            <w:tcW w:w="1850" w:type="dxa"/>
            <w:shd w:val="clear" w:color="auto" w:fill="auto"/>
            <w:vAlign w:val="center"/>
          </w:tcPr>
          <w:p w14:paraId="501F3211" w14:textId="77777777" w:rsidR="007453EC" w:rsidRPr="000B6B22" w:rsidRDefault="007453EC">
            <w:pPr>
              <w:spacing w:before="0"/>
              <w:rPr>
                <w:rFonts w:ascii="Times New Roman" w:hAnsi="Times New Roman"/>
                <w:sz w:val="24"/>
              </w:rPr>
            </w:pPr>
            <w:r>
              <w:rPr>
                <w:rFonts w:ascii="Times New Roman" w:hAnsi="Times New Roman"/>
                <w:sz w:val="24"/>
              </w:rPr>
              <w:t>Εισροή</w:t>
            </w:r>
          </w:p>
        </w:tc>
        <w:tc>
          <w:tcPr>
            <w:tcW w:w="1400" w:type="dxa"/>
            <w:shd w:val="clear" w:color="auto" w:fill="BFBFBF"/>
            <w:vAlign w:val="center"/>
          </w:tcPr>
          <w:p w14:paraId="57D0A0CC" w14:textId="3A28EFB6"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79B59E27" w14:textId="5CF4A736" w:rsidR="007453EC" w:rsidRPr="000B6B22" w:rsidRDefault="00575F76" w:rsidP="009D4EFF">
            <w:pPr>
              <w:spacing w:before="0"/>
              <w:rPr>
                <w:rFonts w:ascii="Times New Roman" w:hAnsi="Times New Roman"/>
                <w:sz w:val="24"/>
              </w:rPr>
            </w:pPr>
            <w:r>
              <w:rPr>
                <w:rFonts w:ascii="Times New Roman" w:hAnsi="Times New Roman"/>
                <w:sz w:val="24"/>
              </w:rPr>
              <w:t>Στήλη 0140</w:t>
            </w:r>
          </w:p>
        </w:tc>
      </w:tr>
      <w:tr w:rsidR="00B47B7D" w:rsidRPr="000B6B22" w14:paraId="44D83FC0" w14:textId="77777777" w:rsidTr="00454544">
        <w:trPr>
          <w:jc w:val="center"/>
        </w:trPr>
        <w:tc>
          <w:tcPr>
            <w:tcW w:w="529" w:type="dxa"/>
            <w:vMerge w:val="restart"/>
            <w:shd w:val="clear" w:color="auto" w:fill="auto"/>
            <w:vAlign w:val="center"/>
          </w:tcPr>
          <w:p w14:paraId="43D5592C" w14:textId="77777777" w:rsidR="007453EC" w:rsidRPr="000B6B22" w:rsidRDefault="007453EC" w:rsidP="009D4EFF">
            <w:pPr>
              <w:spacing w:before="0"/>
              <w:rPr>
                <w:rFonts w:ascii="Times New Roman" w:hAnsi="Times New Roman"/>
                <w:sz w:val="24"/>
              </w:rPr>
            </w:pPr>
            <w:r>
              <w:rPr>
                <w:rFonts w:ascii="Times New Roman" w:hAnsi="Times New Roman"/>
                <w:sz w:val="24"/>
              </w:rPr>
              <w:t>17</w:t>
            </w:r>
          </w:p>
        </w:tc>
        <w:tc>
          <w:tcPr>
            <w:tcW w:w="5550" w:type="dxa"/>
            <w:gridSpan w:val="3"/>
            <w:vMerge w:val="restart"/>
            <w:shd w:val="clear" w:color="auto" w:fill="auto"/>
            <w:vAlign w:val="center"/>
          </w:tcPr>
          <w:p w14:paraId="6ACAD07D" w14:textId="77777777" w:rsidR="007453EC" w:rsidRPr="000B6B22" w:rsidRDefault="007453EC">
            <w:pPr>
              <w:spacing w:before="0"/>
              <w:rPr>
                <w:rFonts w:ascii="Times New Roman" w:hAnsi="Times New Roman"/>
                <w:sz w:val="24"/>
              </w:rPr>
            </w:pPr>
            <w:r>
              <w:rPr>
                <w:rFonts w:ascii="Times New Roman" w:hAnsi="Times New Roman"/>
                <w:sz w:val="24"/>
              </w:rPr>
              <w:t>Εισροές που υπόκεινται στο ανώτατο όριο του 90 % στις εισροές (άρθρο 33 παράγραφοι 4 και 5)</w:t>
            </w:r>
          </w:p>
        </w:tc>
        <w:tc>
          <w:tcPr>
            <w:tcW w:w="1400" w:type="dxa"/>
            <w:shd w:val="clear" w:color="auto" w:fill="auto"/>
            <w:vAlign w:val="center"/>
          </w:tcPr>
          <w:p w14:paraId="01AD2DA5" w14:textId="77777777" w:rsidR="007453EC" w:rsidRPr="000B6B22" w:rsidRDefault="007453EC" w:rsidP="009D4EFF">
            <w:pPr>
              <w:spacing w:before="0"/>
              <w:rPr>
                <w:rFonts w:ascii="Times New Roman" w:hAnsi="Times New Roman"/>
                <w:sz w:val="24"/>
              </w:rPr>
            </w:pPr>
            <w:r>
              <w:rPr>
                <w:rFonts w:ascii="Times New Roman" w:hAnsi="Times New Roman"/>
                <w:sz w:val="24"/>
              </w:rPr>
              <w:t>Ναι</w:t>
            </w:r>
          </w:p>
        </w:tc>
        <w:tc>
          <w:tcPr>
            <w:tcW w:w="2127" w:type="dxa"/>
            <w:shd w:val="clear" w:color="auto" w:fill="auto"/>
            <w:vAlign w:val="center"/>
          </w:tcPr>
          <w:p w14:paraId="6BBCCB83" w14:textId="77777777" w:rsidR="007453EC" w:rsidRPr="000B6B22" w:rsidRDefault="007453EC" w:rsidP="009D4EFF">
            <w:pPr>
              <w:spacing w:before="0"/>
              <w:rPr>
                <w:rFonts w:ascii="Times New Roman" w:hAnsi="Times New Roman"/>
                <w:sz w:val="24"/>
              </w:rPr>
            </w:pPr>
            <w:r>
              <w:rPr>
                <w:rFonts w:ascii="Times New Roman" w:hAnsi="Times New Roman"/>
                <w:sz w:val="24"/>
              </w:rPr>
              <w:t># 18</w:t>
            </w:r>
          </w:p>
        </w:tc>
      </w:tr>
      <w:tr w:rsidR="00B47B7D" w:rsidRPr="000B6B22" w14:paraId="171680DA" w14:textId="77777777" w:rsidTr="00454544">
        <w:trPr>
          <w:jc w:val="center"/>
        </w:trPr>
        <w:tc>
          <w:tcPr>
            <w:tcW w:w="529" w:type="dxa"/>
            <w:vMerge/>
            <w:shd w:val="clear" w:color="auto" w:fill="auto"/>
            <w:vAlign w:val="center"/>
          </w:tcPr>
          <w:p w14:paraId="37128D88"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5DCC59A5"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397F479"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Όχι</w:t>
            </w:r>
          </w:p>
        </w:tc>
        <w:tc>
          <w:tcPr>
            <w:tcW w:w="2127" w:type="dxa"/>
            <w:shd w:val="clear" w:color="auto" w:fill="auto"/>
            <w:vAlign w:val="center"/>
          </w:tcPr>
          <w:p w14:paraId="778A7E26"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19</w:t>
            </w:r>
          </w:p>
        </w:tc>
      </w:tr>
      <w:tr w:rsidR="00B47B7D" w:rsidRPr="000B6B22" w14:paraId="186B68DB" w14:textId="77777777" w:rsidTr="00CB45E9">
        <w:trPr>
          <w:trHeight w:val="134"/>
          <w:jc w:val="center"/>
        </w:trPr>
        <w:tc>
          <w:tcPr>
            <w:tcW w:w="529" w:type="dxa"/>
            <w:vMerge w:val="restart"/>
            <w:shd w:val="clear" w:color="auto" w:fill="auto"/>
            <w:vAlign w:val="center"/>
          </w:tcPr>
          <w:p w14:paraId="5559E736" w14:textId="77777777" w:rsidR="007453EC" w:rsidRPr="000B6B22" w:rsidRDefault="007453EC" w:rsidP="009D4EFF">
            <w:pPr>
              <w:spacing w:before="0"/>
              <w:rPr>
                <w:rFonts w:ascii="Times New Roman" w:hAnsi="Times New Roman"/>
                <w:sz w:val="24"/>
              </w:rPr>
            </w:pPr>
            <w:r>
              <w:rPr>
                <w:rFonts w:ascii="Times New Roman" w:hAnsi="Times New Roman"/>
                <w:sz w:val="24"/>
              </w:rPr>
              <w:t>18</w:t>
            </w:r>
          </w:p>
        </w:tc>
        <w:tc>
          <w:tcPr>
            <w:tcW w:w="1850" w:type="dxa"/>
            <w:vMerge w:val="restart"/>
            <w:shd w:val="clear" w:color="auto" w:fill="auto"/>
            <w:vAlign w:val="center"/>
          </w:tcPr>
          <w:p w14:paraId="7507EF69" w14:textId="77777777" w:rsidR="007453EC" w:rsidRPr="000B6B22" w:rsidRDefault="007453EC">
            <w:pPr>
              <w:spacing w:before="0"/>
              <w:rPr>
                <w:rFonts w:ascii="Times New Roman" w:hAnsi="Times New Roman"/>
                <w:sz w:val="24"/>
              </w:rPr>
            </w:pPr>
            <w:r>
              <w:rPr>
                <w:rFonts w:ascii="Times New Roman" w:hAnsi="Times New Roman"/>
                <w:sz w:val="24"/>
              </w:rPr>
              <w:t>Εισροές που υπόκεινται στο ανώτατο όριο του 90 % στις εισροές (άρθρο 33 παράγραφοι 4 και 5)</w:t>
            </w:r>
          </w:p>
        </w:tc>
        <w:tc>
          <w:tcPr>
            <w:tcW w:w="1850" w:type="dxa"/>
            <w:shd w:val="clear" w:color="auto" w:fill="auto"/>
            <w:vAlign w:val="center"/>
          </w:tcPr>
          <w:p w14:paraId="4C788575" w14:textId="77777777" w:rsidR="007453EC" w:rsidRPr="000B6B22" w:rsidRDefault="007453EC" w:rsidP="009D4EFF">
            <w:pPr>
              <w:spacing w:before="0"/>
              <w:rPr>
                <w:rFonts w:ascii="Times New Roman" w:hAnsi="Times New Roman"/>
                <w:sz w:val="24"/>
              </w:rPr>
            </w:pPr>
            <w:r>
              <w:rPr>
                <w:rFonts w:ascii="Times New Roman" w:hAnsi="Times New Roman"/>
                <w:sz w:val="24"/>
              </w:rPr>
              <w:t># 18.1</w:t>
            </w:r>
          </w:p>
        </w:tc>
        <w:tc>
          <w:tcPr>
            <w:tcW w:w="1850" w:type="dxa"/>
            <w:shd w:val="clear" w:color="auto" w:fill="auto"/>
            <w:vAlign w:val="center"/>
          </w:tcPr>
          <w:p w14:paraId="46A4AC26" w14:textId="77777777" w:rsidR="007453EC" w:rsidRPr="000B6B22" w:rsidRDefault="007453EC">
            <w:pPr>
              <w:spacing w:before="0"/>
              <w:rPr>
                <w:rFonts w:ascii="Times New Roman" w:hAnsi="Times New Roman"/>
                <w:sz w:val="24"/>
              </w:rPr>
            </w:pPr>
            <w:r>
              <w:rPr>
                <w:rFonts w:ascii="Times New Roman" w:hAnsi="Times New Roman"/>
                <w:sz w:val="24"/>
              </w:rPr>
              <w:t>Οφειλόμενα ποσά</w:t>
            </w:r>
          </w:p>
        </w:tc>
        <w:tc>
          <w:tcPr>
            <w:tcW w:w="1400" w:type="dxa"/>
            <w:shd w:val="clear" w:color="auto" w:fill="BFBFBF"/>
            <w:vAlign w:val="center"/>
          </w:tcPr>
          <w:p w14:paraId="366D150F" w14:textId="4F80DD4D"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11CD9F78" w14:textId="30BF9D95" w:rsidR="007453EC" w:rsidRPr="000B6B22" w:rsidRDefault="00575F76" w:rsidP="009D4EFF">
            <w:pPr>
              <w:spacing w:before="0"/>
              <w:rPr>
                <w:rFonts w:ascii="Times New Roman" w:hAnsi="Times New Roman"/>
                <w:sz w:val="24"/>
              </w:rPr>
            </w:pPr>
            <w:r>
              <w:rPr>
                <w:rFonts w:ascii="Times New Roman" w:hAnsi="Times New Roman"/>
                <w:sz w:val="24"/>
              </w:rPr>
              <w:t>Στήλη 0020</w:t>
            </w:r>
          </w:p>
        </w:tc>
      </w:tr>
      <w:tr w:rsidR="00B47B7D" w:rsidRPr="000B6B22" w14:paraId="6AADB014" w14:textId="77777777" w:rsidTr="00CB45E9">
        <w:trPr>
          <w:trHeight w:val="131"/>
          <w:jc w:val="center"/>
        </w:trPr>
        <w:tc>
          <w:tcPr>
            <w:tcW w:w="529" w:type="dxa"/>
            <w:vMerge/>
            <w:shd w:val="clear" w:color="auto" w:fill="auto"/>
            <w:vAlign w:val="center"/>
          </w:tcPr>
          <w:p w14:paraId="6BA25E1E"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4F018674"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88FFD2A" w14:textId="77777777" w:rsidR="007453EC" w:rsidRPr="000B6B22" w:rsidRDefault="007453EC" w:rsidP="009D4EFF">
            <w:pPr>
              <w:spacing w:before="0"/>
              <w:rPr>
                <w:rFonts w:ascii="Times New Roman" w:hAnsi="Times New Roman"/>
                <w:sz w:val="24"/>
              </w:rPr>
            </w:pPr>
            <w:r>
              <w:rPr>
                <w:rFonts w:ascii="Times New Roman" w:hAnsi="Times New Roman"/>
                <w:sz w:val="24"/>
              </w:rPr>
              <w:t># 18.2</w:t>
            </w:r>
          </w:p>
        </w:tc>
        <w:tc>
          <w:tcPr>
            <w:tcW w:w="1850" w:type="dxa"/>
            <w:shd w:val="clear" w:color="auto" w:fill="auto"/>
            <w:vAlign w:val="center"/>
          </w:tcPr>
          <w:p w14:paraId="16EFF2C0" w14:textId="77777777" w:rsidR="007453EC" w:rsidRPr="000B6B22" w:rsidRDefault="007453EC">
            <w:pPr>
              <w:spacing w:before="0"/>
              <w:rPr>
                <w:rFonts w:ascii="Times New Roman" w:hAnsi="Times New Roman"/>
                <w:sz w:val="24"/>
              </w:rPr>
            </w:pPr>
            <w:r>
              <w:rPr>
                <w:rFonts w:ascii="Times New Roman" w:hAnsi="Times New Roman"/>
                <w:sz w:val="24"/>
              </w:rPr>
              <w:t>Αγοραία αξία της λαμβανόμενης εξασφάλισης</w:t>
            </w:r>
          </w:p>
        </w:tc>
        <w:tc>
          <w:tcPr>
            <w:tcW w:w="1400" w:type="dxa"/>
            <w:shd w:val="clear" w:color="auto" w:fill="BFBFBF"/>
            <w:vAlign w:val="center"/>
          </w:tcPr>
          <w:p w14:paraId="0E4075F6" w14:textId="1DB6B80E"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9FA1969" w14:textId="420D243C" w:rsidR="007453EC" w:rsidRPr="000B6B22" w:rsidRDefault="00575F76" w:rsidP="009D4EFF">
            <w:pPr>
              <w:spacing w:before="0"/>
              <w:rPr>
                <w:rFonts w:ascii="Times New Roman" w:hAnsi="Times New Roman"/>
                <w:sz w:val="24"/>
              </w:rPr>
            </w:pPr>
            <w:r>
              <w:rPr>
                <w:rFonts w:ascii="Times New Roman" w:hAnsi="Times New Roman"/>
                <w:sz w:val="24"/>
              </w:rPr>
              <w:t>Στήλη 0050</w:t>
            </w:r>
          </w:p>
        </w:tc>
      </w:tr>
      <w:tr w:rsidR="00B47B7D" w:rsidRPr="000B6B22" w14:paraId="7C1CE6D8" w14:textId="77777777" w:rsidTr="00CB45E9">
        <w:trPr>
          <w:trHeight w:val="131"/>
          <w:jc w:val="center"/>
        </w:trPr>
        <w:tc>
          <w:tcPr>
            <w:tcW w:w="529" w:type="dxa"/>
            <w:vMerge/>
            <w:shd w:val="clear" w:color="auto" w:fill="auto"/>
            <w:vAlign w:val="center"/>
          </w:tcPr>
          <w:p w14:paraId="2448CE6D"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823F94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371FC050" w14:textId="77777777" w:rsidR="007453EC" w:rsidRPr="000B6B22" w:rsidRDefault="007453EC" w:rsidP="009D4EFF">
            <w:pPr>
              <w:spacing w:before="0"/>
              <w:rPr>
                <w:rFonts w:ascii="Times New Roman" w:hAnsi="Times New Roman"/>
                <w:sz w:val="24"/>
              </w:rPr>
            </w:pPr>
            <w:r>
              <w:rPr>
                <w:rFonts w:ascii="Times New Roman" w:hAnsi="Times New Roman"/>
                <w:sz w:val="24"/>
              </w:rPr>
              <w:t># 18.3</w:t>
            </w:r>
          </w:p>
        </w:tc>
        <w:tc>
          <w:tcPr>
            <w:tcW w:w="1850" w:type="dxa"/>
            <w:shd w:val="clear" w:color="auto" w:fill="auto"/>
            <w:vAlign w:val="center"/>
          </w:tcPr>
          <w:p w14:paraId="58217F86" w14:textId="77777777" w:rsidR="007453EC" w:rsidRPr="000B6B22" w:rsidRDefault="007453EC">
            <w:pPr>
              <w:spacing w:before="0"/>
              <w:rPr>
                <w:rFonts w:ascii="Times New Roman" w:hAnsi="Times New Roman"/>
                <w:sz w:val="24"/>
              </w:rPr>
            </w:pPr>
            <w:r>
              <w:rPr>
                <w:rFonts w:ascii="Times New Roman" w:hAnsi="Times New Roman"/>
                <w:sz w:val="24"/>
              </w:rPr>
              <w:t>Εφαρμοστέος συντελεστής στάθμισης</w:t>
            </w:r>
          </w:p>
        </w:tc>
        <w:tc>
          <w:tcPr>
            <w:tcW w:w="1400" w:type="dxa"/>
            <w:shd w:val="clear" w:color="auto" w:fill="BFBFBF"/>
            <w:vAlign w:val="center"/>
          </w:tcPr>
          <w:p w14:paraId="182615F1" w14:textId="05BFA5D7"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0824855D" w14:textId="0D33FA1A" w:rsidR="007453EC" w:rsidRPr="000B6B22" w:rsidRDefault="00575F76" w:rsidP="009D4EFF">
            <w:pPr>
              <w:spacing w:before="0"/>
              <w:rPr>
                <w:rFonts w:ascii="Times New Roman" w:hAnsi="Times New Roman"/>
                <w:sz w:val="24"/>
              </w:rPr>
            </w:pPr>
            <w:r>
              <w:rPr>
                <w:rFonts w:ascii="Times New Roman" w:hAnsi="Times New Roman"/>
                <w:sz w:val="24"/>
              </w:rPr>
              <w:t>Στήλη 0090</w:t>
            </w:r>
          </w:p>
        </w:tc>
      </w:tr>
      <w:tr w:rsidR="00B47B7D" w:rsidRPr="000B6B22" w14:paraId="27AC69F1" w14:textId="77777777" w:rsidTr="00CB45E9">
        <w:trPr>
          <w:trHeight w:val="131"/>
          <w:jc w:val="center"/>
        </w:trPr>
        <w:tc>
          <w:tcPr>
            <w:tcW w:w="529" w:type="dxa"/>
            <w:vMerge/>
            <w:shd w:val="clear" w:color="auto" w:fill="auto"/>
            <w:vAlign w:val="center"/>
          </w:tcPr>
          <w:p w14:paraId="7BD0F728"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AA6C221"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A722490" w14:textId="77777777" w:rsidR="007453EC" w:rsidRPr="000B6B22" w:rsidRDefault="007453EC" w:rsidP="009D4EFF">
            <w:pPr>
              <w:spacing w:before="0"/>
              <w:rPr>
                <w:rFonts w:ascii="Times New Roman" w:hAnsi="Times New Roman"/>
                <w:sz w:val="24"/>
              </w:rPr>
            </w:pPr>
            <w:r>
              <w:rPr>
                <w:rFonts w:ascii="Times New Roman" w:hAnsi="Times New Roman"/>
                <w:sz w:val="24"/>
              </w:rPr>
              <w:t># 18.4</w:t>
            </w:r>
          </w:p>
        </w:tc>
        <w:tc>
          <w:tcPr>
            <w:tcW w:w="1850" w:type="dxa"/>
            <w:shd w:val="clear" w:color="auto" w:fill="auto"/>
            <w:vAlign w:val="center"/>
          </w:tcPr>
          <w:p w14:paraId="57F1611B" w14:textId="61E45A63" w:rsidR="007453EC" w:rsidRPr="000B6B22" w:rsidRDefault="007453EC">
            <w:pPr>
              <w:spacing w:before="0"/>
              <w:rPr>
                <w:rFonts w:ascii="Times New Roman" w:hAnsi="Times New Roman"/>
                <w:sz w:val="24"/>
              </w:rPr>
            </w:pPr>
            <w:r>
              <w:rPr>
                <w:rFonts w:ascii="Times New Roman" w:hAnsi="Times New Roman"/>
                <w:sz w:val="24"/>
              </w:rPr>
              <w:t>Αξία της λαμβανόμενης εξασφάλισης σύμφωνα με το άρθρο 9</w:t>
            </w:r>
          </w:p>
          <w:p w14:paraId="62273CDF" w14:textId="77777777" w:rsidR="007453EC" w:rsidRPr="000B6B22" w:rsidRDefault="007453EC">
            <w:pPr>
              <w:spacing w:before="0"/>
              <w:rPr>
                <w:rFonts w:ascii="Times New Roman" w:hAnsi="Times New Roman"/>
                <w:sz w:val="24"/>
              </w:rPr>
            </w:pPr>
          </w:p>
          <w:p w14:paraId="16571EB7" w14:textId="77777777" w:rsidR="007453EC" w:rsidRPr="000B6B22" w:rsidRDefault="007453EC">
            <w:pPr>
              <w:spacing w:before="0"/>
              <w:rPr>
                <w:rFonts w:ascii="Times New Roman" w:hAnsi="Times New Roman"/>
                <w:sz w:val="24"/>
              </w:rPr>
            </w:pPr>
            <w:r>
              <w:rPr>
                <w:rFonts w:ascii="Times New Roman" w:hAnsi="Times New Roman"/>
                <w:sz w:val="24"/>
              </w:rPr>
              <w:t>[μόνον εάν η λαμβανόμενη εξασφάλιση πληροί τις λειτουργικές απαιτήσεις]</w:t>
            </w:r>
          </w:p>
          <w:p w14:paraId="274214F2" w14:textId="77777777" w:rsidR="007453EC" w:rsidRPr="000B6B22" w:rsidRDefault="007453EC">
            <w:pPr>
              <w:spacing w:before="0"/>
              <w:rPr>
                <w:rFonts w:ascii="Times New Roman" w:hAnsi="Times New Roman"/>
                <w:b/>
                <w:sz w:val="24"/>
                <w:u w:val="single"/>
              </w:rPr>
            </w:pPr>
          </w:p>
        </w:tc>
        <w:tc>
          <w:tcPr>
            <w:tcW w:w="1400" w:type="dxa"/>
            <w:shd w:val="clear" w:color="auto" w:fill="BFBFBF"/>
            <w:vAlign w:val="center"/>
          </w:tcPr>
          <w:p w14:paraId="2D2A3FD0" w14:textId="2449D7CA"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48DED55F" w14:textId="1E0E64EE" w:rsidR="007453EC" w:rsidRPr="000B6B22" w:rsidRDefault="00575F76" w:rsidP="009D4EFF">
            <w:pPr>
              <w:spacing w:before="0"/>
              <w:rPr>
                <w:rFonts w:ascii="Times New Roman" w:hAnsi="Times New Roman"/>
                <w:sz w:val="24"/>
              </w:rPr>
            </w:pPr>
            <w:r>
              <w:rPr>
                <w:rFonts w:ascii="Times New Roman" w:hAnsi="Times New Roman"/>
                <w:sz w:val="24"/>
              </w:rPr>
              <w:t>Στήλη 0120</w:t>
            </w:r>
          </w:p>
        </w:tc>
      </w:tr>
      <w:tr w:rsidR="00B47B7D" w:rsidRPr="000B6B22" w14:paraId="2D65D0FD" w14:textId="77777777" w:rsidTr="00CB45E9">
        <w:trPr>
          <w:trHeight w:val="131"/>
          <w:jc w:val="center"/>
        </w:trPr>
        <w:tc>
          <w:tcPr>
            <w:tcW w:w="529" w:type="dxa"/>
            <w:vMerge/>
            <w:shd w:val="clear" w:color="auto" w:fill="auto"/>
            <w:vAlign w:val="center"/>
          </w:tcPr>
          <w:p w14:paraId="1C690085"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345AA1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229BCC11" w14:textId="77777777" w:rsidR="007453EC" w:rsidRPr="000B6B22" w:rsidRDefault="007453EC" w:rsidP="009D4EFF">
            <w:pPr>
              <w:spacing w:before="0"/>
              <w:rPr>
                <w:rFonts w:ascii="Times New Roman" w:hAnsi="Times New Roman"/>
                <w:sz w:val="24"/>
              </w:rPr>
            </w:pPr>
            <w:r>
              <w:rPr>
                <w:rFonts w:ascii="Times New Roman" w:hAnsi="Times New Roman"/>
                <w:sz w:val="24"/>
              </w:rPr>
              <w:t># 18.5</w:t>
            </w:r>
          </w:p>
        </w:tc>
        <w:tc>
          <w:tcPr>
            <w:tcW w:w="1850" w:type="dxa"/>
            <w:shd w:val="clear" w:color="auto" w:fill="auto"/>
            <w:vAlign w:val="center"/>
          </w:tcPr>
          <w:p w14:paraId="4DF05E20" w14:textId="77777777" w:rsidR="007453EC" w:rsidRPr="000B6B22" w:rsidRDefault="007453EC">
            <w:pPr>
              <w:spacing w:before="0"/>
              <w:rPr>
                <w:rFonts w:ascii="Times New Roman" w:hAnsi="Times New Roman"/>
                <w:sz w:val="24"/>
              </w:rPr>
            </w:pPr>
            <w:r>
              <w:rPr>
                <w:rFonts w:ascii="Times New Roman" w:hAnsi="Times New Roman"/>
                <w:sz w:val="24"/>
              </w:rPr>
              <w:t>Εισροή</w:t>
            </w:r>
          </w:p>
        </w:tc>
        <w:tc>
          <w:tcPr>
            <w:tcW w:w="1400" w:type="dxa"/>
            <w:shd w:val="clear" w:color="auto" w:fill="BFBFBF"/>
            <w:vAlign w:val="center"/>
          </w:tcPr>
          <w:p w14:paraId="1957DA14" w14:textId="3FE81A14"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A55ECAF" w14:textId="2942BBC1" w:rsidR="007453EC" w:rsidRPr="000B6B22" w:rsidRDefault="00575F76" w:rsidP="009D4EFF">
            <w:pPr>
              <w:spacing w:before="0"/>
              <w:rPr>
                <w:rFonts w:ascii="Times New Roman" w:hAnsi="Times New Roman"/>
                <w:sz w:val="24"/>
              </w:rPr>
            </w:pPr>
            <w:r>
              <w:rPr>
                <w:rFonts w:ascii="Times New Roman" w:hAnsi="Times New Roman"/>
                <w:sz w:val="24"/>
              </w:rPr>
              <w:t>Στήλη 0150</w:t>
            </w:r>
          </w:p>
        </w:tc>
      </w:tr>
      <w:tr w:rsidR="00B47B7D" w:rsidRPr="000B6B22" w14:paraId="024C7CF7" w14:textId="77777777" w:rsidTr="00CB45E9">
        <w:trPr>
          <w:trHeight w:val="134"/>
          <w:jc w:val="center"/>
        </w:trPr>
        <w:tc>
          <w:tcPr>
            <w:tcW w:w="529" w:type="dxa"/>
            <w:vMerge w:val="restart"/>
            <w:shd w:val="clear" w:color="auto" w:fill="auto"/>
            <w:vAlign w:val="center"/>
          </w:tcPr>
          <w:p w14:paraId="360F4477" w14:textId="77777777" w:rsidR="007453EC" w:rsidRPr="000B6B22" w:rsidRDefault="007453EC" w:rsidP="009D4EFF">
            <w:pPr>
              <w:spacing w:before="0"/>
              <w:rPr>
                <w:rFonts w:ascii="Times New Roman" w:hAnsi="Times New Roman"/>
                <w:sz w:val="24"/>
              </w:rPr>
            </w:pPr>
            <w:r>
              <w:rPr>
                <w:rFonts w:ascii="Times New Roman" w:hAnsi="Times New Roman"/>
                <w:sz w:val="24"/>
              </w:rPr>
              <w:t>19</w:t>
            </w:r>
          </w:p>
        </w:tc>
        <w:tc>
          <w:tcPr>
            <w:tcW w:w="1850" w:type="dxa"/>
            <w:vMerge w:val="restart"/>
            <w:shd w:val="clear" w:color="auto" w:fill="auto"/>
            <w:vAlign w:val="center"/>
          </w:tcPr>
          <w:p w14:paraId="02C258CF" w14:textId="77777777" w:rsidR="007453EC" w:rsidRPr="000B6B22" w:rsidRDefault="007453EC">
            <w:pPr>
              <w:spacing w:before="0"/>
              <w:rPr>
                <w:rFonts w:ascii="Times New Roman" w:hAnsi="Times New Roman"/>
                <w:sz w:val="24"/>
              </w:rPr>
            </w:pPr>
            <w:r>
              <w:rPr>
                <w:rFonts w:ascii="Times New Roman" w:hAnsi="Times New Roman"/>
                <w:sz w:val="24"/>
              </w:rPr>
              <w:t xml:space="preserve">Εισροές που εξαιρούνται πλήρως από το ανώτατο όριο στις εισροές </w:t>
            </w:r>
            <w:r>
              <w:rPr>
                <w:rFonts w:ascii="Times New Roman" w:hAnsi="Times New Roman"/>
                <w:sz w:val="24"/>
              </w:rPr>
              <w:lastRenderedPageBreak/>
              <w:t>(άρθρο 33 παράγραφοι 2-3)</w:t>
            </w:r>
          </w:p>
        </w:tc>
        <w:tc>
          <w:tcPr>
            <w:tcW w:w="1850" w:type="dxa"/>
            <w:shd w:val="clear" w:color="auto" w:fill="auto"/>
            <w:vAlign w:val="center"/>
          </w:tcPr>
          <w:p w14:paraId="74D5ACED" w14:textId="77777777" w:rsidR="007453EC" w:rsidRPr="000B6B22" w:rsidRDefault="007453EC" w:rsidP="009D4EFF">
            <w:pPr>
              <w:spacing w:before="0"/>
              <w:rPr>
                <w:rFonts w:ascii="Times New Roman" w:hAnsi="Times New Roman"/>
                <w:sz w:val="24"/>
              </w:rPr>
            </w:pPr>
            <w:r>
              <w:rPr>
                <w:rFonts w:ascii="Times New Roman" w:hAnsi="Times New Roman"/>
                <w:sz w:val="24"/>
              </w:rPr>
              <w:lastRenderedPageBreak/>
              <w:t># 19.1</w:t>
            </w:r>
          </w:p>
        </w:tc>
        <w:tc>
          <w:tcPr>
            <w:tcW w:w="1850" w:type="dxa"/>
            <w:shd w:val="clear" w:color="auto" w:fill="auto"/>
            <w:vAlign w:val="center"/>
          </w:tcPr>
          <w:p w14:paraId="4457F4FD" w14:textId="77777777" w:rsidR="007453EC" w:rsidRPr="000B6B22" w:rsidRDefault="007453EC">
            <w:pPr>
              <w:spacing w:before="0"/>
              <w:rPr>
                <w:rFonts w:ascii="Times New Roman" w:hAnsi="Times New Roman"/>
                <w:sz w:val="24"/>
              </w:rPr>
            </w:pPr>
            <w:r>
              <w:rPr>
                <w:rFonts w:ascii="Times New Roman" w:hAnsi="Times New Roman"/>
                <w:sz w:val="24"/>
              </w:rPr>
              <w:t>Οφειλόμενα ποσά</w:t>
            </w:r>
          </w:p>
        </w:tc>
        <w:tc>
          <w:tcPr>
            <w:tcW w:w="1400" w:type="dxa"/>
            <w:shd w:val="clear" w:color="auto" w:fill="BFBFBF"/>
            <w:vAlign w:val="center"/>
          </w:tcPr>
          <w:p w14:paraId="7D5E663F" w14:textId="463D45DC"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29858503" w14:textId="0029A4EC" w:rsidR="007453EC" w:rsidRPr="000B6B22" w:rsidRDefault="00575F76" w:rsidP="009D4EFF">
            <w:pPr>
              <w:spacing w:before="0"/>
              <w:rPr>
                <w:rFonts w:ascii="Times New Roman" w:hAnsi="Times New Roman"/>
                <w:sz w:val="24"/>
              </w:rPr>
            </w:pPr>
            <w:r>
              <w:rPr>
                <w:rFonts w:ascii="Times New Roman" w:hAnsi="Times New Roman"/>
                <w:sz w:val="24"/>
              </w:rPr>
              <w:t>Στήλη 0030</w:t>
            </w:r>
          </w:p>
        </w:tc>
      </w:tr>
      <w:tr w:rsidR="00B47B7D" w:rsidRPr="000B6B22" w14:paraId="33E983EB" w14:textId="77777777" w:rsidTr="00CB45E9">
        <w:trPr>
          <w:trHeight w:val="131"/>
          <w:jc w:val="center"/>
        </w:trPr>
        <w:tc>
          <w:tcPr>
            <w:tcW w:w="529" w:type="dxa"/>
            <w:vMerge/>
            <w:shd w:val="clear" w:color="auto" w:fill="auto"/>
            <w:vAlign w:val="center"/>
          </w:tcPr>
          <w:p w14:paraId="4B62BE09"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262142DA"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650E7F08" w14:textId="77777777" w:rsidR="007453EC" w:rsidRPr="000B6B22" w:rsidRDefault="007453EC" w:rsidP="009D4EFF">
            <w:pPr>
              <w:spacing w:before="0"/>
              <w:rPr>
                <w:rFonts w:ascii="Times New Roman" w:hAnsi="Times New Roman"/>
                <w:sz w:val="24"/>
              </w:rPr>
            </w:pPr>
            <w:r>
              <w:rPr>
                <w:rFonts w:ascii="Times New Roman" w:hAnsi="Times New Roman"/>
                <w:sz w:val="24"/>
              </w:rPr>
              <w:t># 19.2</w:t>
            </w:r>
          </w:p>
        </w:tc>
        <w:tc>
          <w:tcPr>
            <w:tcW w:w="1850" w:type="dxa"/>
            <w:shd w:val="clear" w:color="auto" w:fill="auto"/>
            <w:vAlign w:val="center"/>
          </w:tcPr>
          <w:p w14:paraId="782C4DF0" w14:textId="77777777" w:rsidR="007453EC" w:rsidRPr="000B6B22" w:rsidRDefault="007453EC">
            <w:pPr>
              <w:spacing w:before="0"/>
              <w:rPr>
                <w:rFonts w:ascii="Times New Roman" w:hAnsi="Times New Roman"/>
                <w:sz w:val="24"/>
              </w:rPr>
            </w:pPr>
            <w:r>
              <w:rPr>
                <w:rFonts w:ascii="Times New Roman" w:hAnsi="Times New Roman"/>
                <w:sz w:val="24"/>
              </w:rPr>
              <w:t>Αγοραία αξία της λαμβανόμενης εξασφάλισης</w:t>
            </w:r>
          </w:p>
        </w:tc>
        <w:tc>
          <w:tcPr>
            <w:tcW w:w="1400" w:type="dxa"/>
            <w:shd w:val="clear" w:color="auto" w:fill="BFBFBF"/>
            <w:vAlign w:val="center"/>
          </w:tcPr>
          <w:p w14:paraId="56B6EFF0" w14:textId="37ADE589"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431FBEDA" w14:textId="58A8A1FD" w:rsidR="007453EC" w:rsidRPr="000B6B22" w:rsidRDefault="00575F76" w:rsidP="009D4EFF">
            <w:pPr>
              <w:spacing w:before="0"/>
              <w:rPr>
                <w:rFonts w:ascii="Times New Roman" w:hAnsi="Times New Roman"/>
                <w:sz w:val="24"/>
              </w:rPr>
            </w:pPr>
            <w:r>
              <w:rPr>
                <w:rFonts w:ascii="Times New Roman" w:hAnsi="Times New Roman"/>
                <w:sz w:val="24"/>
              </w:rPr>
              <w:t>Στήλη 0060</w:t>
            </w:r>
          </w:p>
        </w:tc>
      </w:tr>
      <w:tr w:rsidR="00B47B7D" w:rsidRPr="000B6B22" w14:paraId="67E91E99" w14:textId="77777777" w:rsidTr="00CB45E9">
        <w:trPr>
          <w:trHeight w:val="131"/>
          <w:jc w:val="center"/>
        </w:trPr>
        <w:tc>
          <w:tcPr>
            <w:tcW w:w="529" w:type="dxa"/>
            <w:vMerge/>
            <w:shd w:val="clear" w:color="auto" w:fill="auto"/>
            <w:vAlign w:val="center"/>
          </w:tcPr>
          <w:p w14:paraId="2076963B"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006E1055"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19753784" w14:textId="77777777" w:rsidR="007453EC" w:rsidRPr="000B6B22" w:rsidRDefault="007453EC" w:rsidP="009D4EFF">
            <w:pPr>
              <w:spacing w:before="0"/>
              <w:rPr>
                <w:rFonts w:ascii="Times New Roman" w:hAnsi="Times New Roman"/>
                <w:sz w:val="24"/>
              </w:rPr>
            </w:pPr>
            <w:r>
              <w:rPr>
                <w:rFonts w:ascii="Times New Roman" w:hAnsi="Times New Roman"/>
                <w:sz w:val="24"/>
              </w:rPr>
              <w:t># 19.3</w:t>
            </w:r>
          </w:p>
        </w:tc>
        <w:tc>
          <w:tcPr>
            <w:tcW w:w="1850" w:type="dxa"/>
            <w:shd w:val="clear" w:color="auto" w:fill="auto"/>
            <w:vAlign w:val="center"/>
          </w:tcPr>
          <w:p w14:paraId="40DF83FE" w14:textId="77777777" w:rsidR="007453EC" w:rsidRPr="000B6B22" w:rsidRDefault="007453EC">
            <w:pPr>
              <w:spacing w:before="0"/>
              <w:rPr>
                <w:rFonts w:ascii="Times New Roman" w:hAnsi="Times New Roman"/>
                <w:sz w:val="24"/>
              </w:rPr>
            </w:pPr>
            <w:r>
              <w:rPr>
                <w:rFonts w:ascii="Times New Roman" w:hAnsi="Times New Roman"/>
                <w:sz w:val="24"/>
              </w:rPr>
              <w:t>Εφαρμοστέος συντελεστής στάθμισης</w:t>
            </w:r>
          </w:p>
        </w:tc>
        <w:tc>
          <w:tcPr>
            <w:tcW w:w="1400" w:type="dxa"/>
            <w:shd w:val="clear" w:color="auto" w:fill="BFBFBF"/>
            <w:vAlign w:val="center"/>
          </w:tcPr>
          <w:p w14:paraId="59D77FBA" w14:textId="254B7FBB"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B4BD9A3" w14:textId="585B3FDA" w:rsidR="007453EC" w:rsidRPr="000B6B22" w:rsidRDefault="00575F76" w:rsidP="009D4EFF">
            <w:pPr>
              <w:spacing w:before="0"/>
              <w:rPr>
                <w:rFonts w:ascii="Times New Roman" w:hAnsi="Times New Roman"/>
                <w:sz w:val="24"/>
              </w:rPr>
            </w:pPr>
            <w:r>
              <w:rPr>
                <w:rFonts w:ascii="Times New Roman" w:hAnsi="Times New Roman"/>
                <w:sz w:val="24"/>
              </w:rPr>
              <w:t>Στήλη 0100</w:t>
            </w:r>
          </w:p>
        </w:tc>
      </w:tr>
      <w:tr w:rsidR="00B47B7D" w:rsidRPr="000B6B22" w14:paraId="74FFBD48" w14:textId="77777777" w:rsidTr="00CB45E9">
        <w:trPr>
          <w:trHeight w:val="131"/>
          <w:jc w:val="center"/>
        </w:trPr>
        <w:tc>
          <w:tcPr>
            <w:tcW w:w="529" w:type="dxa"/>
            <w:vMerge/>
            <w:shd w:val="clear" w:color="auto" w:fill="auto"/>
            <w:vAlign w:val="center"/>
          </w:tcPr>
          <w:p w14:paraId="7547D25C"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5F5DFA26"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33525ED8" w14:textId="77777777" w:rsidR="007453EC" w:rsidRPr="000B6B22" w:rsidRDefault="007453EC" w:rsidP="009D4EFF">
            <w:pPr>
              <w:spacing w:before="0"/>
              <w:rPr>
                <w:rFonts w:ascii="Times New Roman" w:hAnsi="Times New Roman"/>
                <w:sz w:val="24"/>
              </w:rPr>
            </w:pPr>
            <w:r>
              <w:rPr>
                <w:rFonts w:ascii="Times New Roman" w:hAnsi="Times New Roman"/>
                <w:sz w:val="24"/>
              </w:rPr>
              <w:t># 19.4</w:t>
            </w:r>
          </w:p>
        </w:tc>
        <w:tc>
          <w:tcPr>
            <w:tcW w:w="1850" w:type="dxa"/>
            <w:shd w:val="clear" w:color="auto" w:fill="auto"/>
            <w:vAlign w:val="center"/>
          </w:tcPr>
          <w:p w14:paraId="7A0D528A" w14:textId="106C7404" w:rsidR="007453EC" w:rsidRPr="000B6B22" w:rsidRDefault="007453EC">
            <w:pPr>
              <w:spacing w:before="0"/>
              <w:rPr>
                <w:rFonts w:ascii="Times New Roman" w:hAnsi="Times New Roman"/>
                <w:sz w:val="24"/>
              </w:rPr>
            </w:pPr>
            <w:r>
              <w:rPr>
                <w:rFonts w:ascii="Times New Roman" w:hAnsi="Times New Roman"/>
                <w:sz w:val="24"/>
              </w:rPr>
              <w:t>Αξία της λαμβανόμενης εξασφάλισης σύμφωνα με το άρθρο 9</w:t>
            </w:r>
          </w:p>
          <w:p w14:paraId="6C2482AC" w14:textId="77777777" w:rsidR="007453EC" w:rsidRPr="000B6B22" w:rsidRDefault="007453EC">
            <w:pPr>
              <w:spacing w:before="0"/>
              <w:rPr>
                <w:rFonts w:ascii="Times New Roman" w:hAnsi="Times New Roman"/>
                <w:sz w:val="24"/>
              </w:rPr>
            </w:pPr>
          </w:p>
          <w:p w14:paraId="4FB5FB24" w14:textId="77777777" w:rsidR="007453EC" w:rsidRPr="000B6B22" w:rsidRDefault="007453EC">
            <w:pPr>
              <w:spacing w:before="0"/>
              <w:rPr>
                <w:rFonts w:ascii="Times New Roman" w:hAnsi="Times New Roman"/>
                <w:sz w:val="24"/>
              </w:rPr>
            </w:pPr>
            <w:r>
              <w:rPr>
                <w:rFonts w:ascii="Times New Roman" w:hAnsi="Times New Roman"/>
                <w:sz w:val="24"/>
              </w:rPr>
              <w:t>[μόνον εάν η λαμβανόμενη εξασφάλιση πληροί τις λειτουργικές απαιτήσεις]</w:t>
            </w:r>
          </w:p>
          <w:p w14:paraId="13707B42" w14:textId="77777777" w:rsidR="007453EC" w:rsidRPr="000B6B22" w:rsidRDefault="007453EC">
            <w:pPr>
              <w:spacing w:before="0"/>
              <w:rPr>
                <w:rFonts w:ascii="Times New Roman" w:hAnsi="Times New Roman"/>
                <w:sz w:val="24"/>
              </w:rPr>
            </w:pPr>
          </w:p>
        </w:tc>
        <w:tc>
          <w:tcPr>
            <w:tcW w:w="1400" w:type="dxa"/>
            <w:shd w:val="clear" w:color="auto" w:fill="BFBFBF"/>
            <w:vAlign w:val="center"/>
          </w:tcPr>
          <w:p w14:paraId="5D354B05" w14:textId="5C6FDCEF"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608BF9EC" w14:textId="3FAD675C" w:rsidR="007453EC" w:rsidRPr="000B6B22" w:rsidRDefault="00575F76" w:rsidP="009D4EFF">
            <w:pPr>
              <w:spacing w:before="0"/>
              <w:rPr>
                <w:rFonts w:ascii="Times New Roman" w:hAnsi="Times New Roman"/>
                <w:sz w:val="24"/>
              </w:rPr>
            </w:pPr>
            <w:r>
              <w:rPr>
                <w:rFonts w:ascii="Times New Roman" w:hAnsi="Times New Roman"/>
                <w:sz w:val="24"/>
              </w:rPr>
              <w:t>Στήλη 0130</w:t>
            </w:r>
          </w:p>
        </w:tc>
      </w:tr>
      <w:tr w:rsidR="00B47B7D" w:rsidRPr="000B6B22" w14:paraId="58B89739" w14:textId="77777777" w:rsidTr="00CB45E9">
        <w:trPr>
          <w:trHeight w:val="131"/>
          <w:jc w:val="center"/>
        </w:trPr>
        <w:tc>
          <w:tcPr>
            <w:tcW w:w="529" w:type="dxa"/>
            <w:vMerge/>
            <w:shd w:val="clear" w:color="auto" w:fill="auto"/>
            <w:vAlign w:val="center"/>
          </w:tcPr>
          <w:p w14:paraId="120D583D"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24FED0F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5EA42F8F" w14:textId="77777777" w:rsidR="007453EC" w:rsidRPr="000B6B22" w:rsidRDefault="007453EC" w:rsidP="009D4EFF">
            <w:pPr>
              <w:spacing w:before="0"/>
              <w:rPr>
                <w:rFonts w:ascii="Times New Roman" w:hAnsi="Times New Roman"/>
                <w:sz w:val="24"/>
              </w:rPr>
            </w:pPr>
            <w:r>
              <w:rPr>
                <w:rFonts w:ascii="Times New Roman" w:hAnsi="Times New Roman"/>
                <w:sz w:val="24"/>
              </w:rPr>
              <w:t># 19.5</w:t>
            </w:r>
          </w:p>
        </w:tc>
        <w:tc>
          <w:tcPr>
            <w:tcW w:w="1850" w:type="dxa"/>
            <w:shd w:val="clear" w:color="auto" w:fill="auto"/>
            <w:vAlign w:val="center"/>
          </w:tcPr>
          <w:p w14:paraId="5BC15CE3" w14:textId="77777777" w:rsidR="007453EC" w:rsidRPr="000B6B22" w:rsidRDefault="007453EC">
            <w:pPr>
              <w:spacing w:before="0"/>
              <w:rPr>
                <w:rFonts w:ascii="Times New Roman" w:hAnsi="Times New Roman"/>
                <w:sz w:val="24"/>
              </w:rPr>
            </w:pPr>
            <w:r>
              <w:rPr>
                <w:rFonts w:ascii="Times New Roman" w:hAnsi="Times New Roman"/>
                <w:sz w:val="24"/>
              </w:rPr>
              <w:t>Εισροή</w:t>
            </w:r>
          </w:p>
        </w:tc>
        <w:tc>
          <w:tcPr>
            <w:tcW w:w="1400" w:type="dxa"/>
            <w:shd w:val="clear" w:color="auto" w:fill="BFBFBF"/>
            <w:vAlign w:val="center"/>
          </w:tcPr>
          <w:p w14:paraId="24154570" w14:textId="4A7B98E9"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F158C6A" w14:textId="7A63141A" w:rsidR="007453EC" w:rsidRPr="000B6B22" w:rsidRDefault="00575F76" w:rsidP="009D4EFF">
            <w:pPr>
              <w:spacing w:before="0"/>
              <w:rPr>
                <w:rFonts w:ascii="Times New Roman" w:hAnsi="Times New Roman"/>
                <w:sz w:val="24"/>
              </w:rPr>
            </w:pPr>
            <w:r>
              <w:rPr>
                <w:rFonts w:ascii="Times New Roman" w:hAnsi="Times New Roman"/>
                <w:sz w:val="24"/>
              </w:rPr>
              <w:t>Στήλη 0160</w:t>
            </w:r>
          </w:p>
        </w:tc>
      </w:tr>
    </w:tbl>
    <w:p w14:paraId="3884AB65" w14:textId="2BAB6E15" w:rsidR="007453EC" w:rsidRPr="000B6B22" w:rsidRDefault="007453EC">
      <w:pPr>
        <w:keepNext/>
        <w:spacing w:before="0"/>
        <w:ind w:left="357" w:hanging="357"/>
        <w:outlineLvl w:val="1"/>
        <w:rPr>
          <w:rFonts w:ascii="Times New Roman" w:hAnsi="Times New Roman"/>
          <w:sz w:val="24"/>
        </w:rPr>
      </w:pPr>
      <w:r>
        <w:br w:type="page"/>
      </w:r>
      <w:r>
        <w:rPr>
          <w:rFonts w:ascii="Times New Roman" w:hAnsi="Times New Roman"/>
          <w:sz w:val="24"/>
        </w:rPr>
        <w:lastRenderedPageBreak/>
        <w:t>1.5.</w:t>
      </w:r>
      <w:r>
        <w:tab/>
      </w:r>
      <w:r>
        <w:rPr>
          <w:rFonts w:ascii="Times New Roman" w:hAnsi="Times New Roman"/>
          <w:sz w:val="24"/>
        </w:rPr>
        <w:t>Μέρος του υποδείγματος για τις εισροές</w:t>
      </w:r>
    </w:p>
    <w:p w14:paraId="54B00A4C" w14:textId="6AAAF10B" w:rsidR="007453EC" w:rsidRPr="000B6B22" w:rsidRDefault="0062009E">
      <w:pPr>
        <w:keepNext/>
        <w:spacing w:before="0"/>
        <w:ind w:left="357" w:hanging="357"/>
        <w:outlineLvl w:val="1"/>
        <w:rPr>
          <w:rFonts w:ascii="Times New Roman" w:hAnsi="Times New Roman"/>
          <w:sz w:val="24"/>
        </w:rPr>
      </w:pPr>
      <w:r>
        <w:rPr>
          <w:rFonts w:ascii="Times New Roman" w:hAnsi="Times New Roman"/>
          <w:sz w:val="24"/>
        </w:rPr>
        <w:t>1.5.1.</w:t>
      </w:r>
      <w:r>
        <w:tab/>
      </w:r>
      <w:r>
        <w:rPr>
          <w:rFonts w:ascii="Times New Roman" w:hAnsi="Times New Roman"/>
          <w:sz w:val="24"/>
        </w:rPr>
        <w:t>Οδηγίες για συγκεκριμένες στήλες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36"/>
        <w:gridCol w:w="7309"/>
      </w:tblGrid>
      <w:tr w:rsidR="00B47B7D" w:rsidRPr="000B6B22" w14:paraId="2DA7F69F" w14:textId="77777777" w:rsidTr="00D63CF5">
        <w:tc>
          <w:tcPr>
            <w:tcW w:w="957" w:type="dxa"/>
            <w:shd w:val="clear" w:color="auto" w:fill="D9D9D9"/>
          </w:tcPr>
          <w:p w14:paraId="0087DFD4" w14:textId="77777777" w:rsidR="007453EC" w:rsidRPr="000B6B22" w:rsidRDefault="007453EC">
            <w:pPr>
              <w:spacing w:before="0"/>
              <w:rPr>
                <w:rFonts w:ascii="Times New Roman" w:hAnsi="Times New Roman"/>
                <w:sz w:val="24"/>
              </w:rPr>
            </w:pPr>
            <w:r>
              <w:rPr>
                <w:rFonts w:ascii="Times New Roman" w:hAnsi="Times New Roman"/>
                <w:sz w:val="24"/>
              </w:rPr>
              <w:t>Στήλη</w:t>
            </w:r>
          </w:p>
        </w:tc>
        <w:tc>
          <w:tcPr>
            <w:tcW w:w="7339" w:type="dxa"/>
            <w:gridSpan w:val="2"/>
            <w:shd w:val="clear" w:color="auto" w:fill="D9D9D9"/>
          </w:tcPr>
          <w:p w14:paraId="77A26FCD" w14:textId="77777777" w:rsidR="007453EC" w:rsidRPr="000B6B22" w:rsidRDefault="007453EC">
            <w:pPr>
              <w:spacing w:before="0"/>
              <w:rPr>
                <w:rFonts w:ascii="Times New Roman" w:hAnsi="Times New Roman"/>
                <w:sz w:val="24"/>
              </w:rPr>
            </w:pPr>
            <w:r>
              <w:rPr>
                <w:rFonts w:ascii="Times New Roman" w:hAnsi="Times New Roman"/>
                <w:sz w:val="24"/>
              </w:rPr>
              <w:t>Νομικά κείμενα αναφοράς και οδηγίες</w:t>
            </w:r>
          </w:p>
        </w:tc>
      </w:tr>
      <w:tr w:rsidR="00B47B7D" w:rsidRPr="000B6B22" w14:paraId="0B571055" w14:textId="77777777" w:rsidTr="00D63CF5">
        <w:tc>
          <w:tcPr>
            <w:tcW w:w="957" w:type="dxa"/>
            <w:shd w:val="clear" w:color="auto" w:fill="auto"/>
            <w:vAlign w:val="center"/>
          </w:tcPr>
          <w:p w14:paraId="1FAD0D67" w14:textId="0BDDBFC1" w:rsidR="007453EC" w:rsidRPr="000B6B22" w:rsidRDefault="007453EC">
            <w:pPr>
              <w:spacing w:before="0"/>
              <w:rPr>
                <w:rFonts w:ascii="Times New Roman" w:hAnsi="Times New Roman"/>
                <w:sz w:val="24"/>
              </w:rPr>
            </w:pPr>
            <w:r>
              <w:rPr>
                <w:rFonts w:ascii="Times New Roman" w:hAnsi="Times New Roman"/>
                <w:sz w:val="24"/>
              </w:rPr>
              <w:t>0010</w:t>
            </w:r>
          </w:p>
        </w:tc>
        <w:tc>
          <w:tcPr>
            <w:tcW w:w="7339" w:type="dxa"/>
            <w:gridSpan w:val="2"/>
            <w:shd w:val="clear" w:color="auto" w:fill="auto"/>
          </w:tcPr>
          <w:p w14:paraId="4CE7E183" w14:textId="77777777" w:rsidR="007453EC" w:rsidRPr="000B6B22" w:rsidRDefault="007453EC">
            <w:pPr>
              <w:spacing w:before="0"/>
              <w:rPr>
                <w:rFonts w:ascii="Times New Roman" w:hAnsi="Times New Roman"/>
                <w:b/>
                <w:bCs/>
                <w:sz w:val="24"/>
              </w:rPr>
            </w:pPr>
            <w:r>
              <w:rPr>
                <w:rFonts w:ascii="Times New Roman" w:hAnsi="Times New Roman"/>
                <w:b/>
                <w:sz w:val="24"/>
              </w:rPr>
              <w:t>Ποσό — Υπόκειται σε ανώτατο όριο 75 % στις εισροές</w:t>
            </w:r>
          </w:p>
          <w:p w14:paraId="76C34829" w14:textId="3AEE35E5" w:rsidR="007453EC" w:rsidRPr="000B6B22" w:rsidRDefault="007453EC">
            <w:pPr>
              <w:spacing w:before="0"/>
              <w:rPr>
                <w:rFonts w:ascii="Times New Roman" w:hAnsi="Times New Roman"/>
                <w:bCs/>
                <w:sz w:val="24"/>
              </w:rPr>
            </w:pPr>
            <w:r>
              <w:rPr>
                <w:rFonts w:ascii="Times New Roman" w:hAnsi="Times New Roman"/>
                <w:sz w:val="24"/>
              </w:rPr>
              <w:t>Άρθρα 32, 33 και 34 του κατ’ εξουσιοδότηση κανονισμού (ΕΕ) 2015/61</w:t>
            </w:r>
          </w:p>
          <w:p w14:paraId="0D9819C3" w14:textId="60CB40D5" w:rsidR="006F1DF5" w:rsidRPr="000B6B22" w:rsidRDefault="006F1DF5">
            <w:pPr>
              <w:spacing w:before="0"/>
              <w:rPr>
                <w:rFonts w:ascii="Times New Roman" w:hAnsi="Times New Roman"/>
                <w:bCs/>
                <w:sz w:val="24"/>
              </w:rPr>
            </w:pPr>
            <w:r>
              <w:rPr>
                <w:rFonts w:ascii="Times New Roman" w:hAnsi="Times New Roman"/>
                <w:sz w:val="24"/>
              </w:rPr>
              <w:t>Για τις γραμμές 0040, 0060-0090, 0120-0130, 0150-0260, 0269-0297, 0301-0303, 0309-0337, 0341-0345, 0450 και 0470-0510, τα πιστωτικά ιδρύματα αναφέρουν στη στήλη 0010 το συνολικό ποσό των στοιχείων ενεργητικού/των οφειλόμενων ποσών/μέγιστων ποσών που μπορούν να αναληφθούν και υπόκεινται στο ανώτατο όριο του 75 % για τις εισροές, όπως ορίζεται στο άρθρο 33 παράγραφος 1 του κατ’ εξουσιοδότηση κανονισμού (ΕΕ) 2015/61 και σύμφωνα με τις σχετικές οδηγίες που περιλαμβάνονται εδώ.</w:t>
            </w:r>
          </w:p>
          <w:p w14:paraId="6B99EE47" w14:textId="03BA4ABB" w:rsidR="007453EC" w:rsidRPr="000B6B22" w:rsidRDefault="007453EC">
            <w:pPr>
              <w:spacing w:before="0"/>
              <w:rPr>
                <w:rFonts w:ascii="Times New Roman" w:hAnsi="Times New Roman"/>
                <w:bCs/>
                <w:sz w:val="24"/>
              </w:rPr>
            </w:pPr>
            <w:r>
              <w:rPr>
                <w:rFonts w:ascii="Times New Roman" w:hAnsi="Times New Roman"/>
                <w:sz w:val="24"/>
              </w:rPr>
              <w:t>Όταν μια αρμόδια αρχή επιτρέπει μερική εξαίρεση από το ανώτατο όριο για τις εισροές, σύμφωνα με το άρθρο 33 παράγραφος 2 του κατ’ εξουσιοδότηση κανονισμού (ΕΕ) 2015/61, το μέρος του ποσού που υπόκειται στην εξαίρεση αναφέρεται στη στήλη 0020 ή 0030 και το μέρος του ποσού που δεν υπόκειται στην εξαίρεση αναφέρεται στη στήλη 0010.</w:t>
            </w:r>
          </w:p>
        </w:tc>
      </w:tr>
      <w:tr w:rsidR="00B47B7D" w:rsidRPr="000B6B22" w14:paraId="4D467409" w14:textId="77777777" w:rsidTr="00D63CF5">
        <w:tc>
          <w:tcPr>
            <w:tcW w:w="957" w:type="dxa"/>
            <w:shd w:val="clear" w:color="auto" w:fill="auto"/>
            <w:vAlign w:val="center"/>
          </w:tcPr>
          <w:p w14:paraId="261A4E25" w14:textId="1B256204" w:rsidR="007453EC" w:rsidRPr="000B6B22" w:rsidRDefault="009A505A">
            <w:pPr>
              <w:spacing w:before="0"/>
              <w:rPr>
                <w:rFonts w:ascii="Times New Roman" w:hAnsi="Times New Roman"/>
                <w:sz w:val="24"/>
              </w:rPr>
            </w:pPr>
            <w:r>
              <w:rPr>
                <w:rFonts w:ascii="Times New Roman" w:hAnsi="Times New Roman"/>
                <w:sz w:val="24"/>
              </w:rPr>
              <w:t>0020</w:t>
            </w:r>
          </w:p>
        </w:tc>
        <w:tc>
          <w:tcPr>
            <w:tcW w:w="7339" w:type="dxa"/>
            <w:gridSpan w:val="2"/>
            <w:shd w:val="clear" w:color="auto" w:fill="auto"/>
          </w:tcPr>
          <w:p w14:paraId="5A349CEF" w14:textId="77777777" w:rsidR="007453EC" w:rsidRPr="000B6B22" w:rsidRDefault="007453EC">
            <w:pPr>
              <w:spacing w:before="0"/>
              <w:rPr>
                <w:rFonts w:ascii="Times New Roman" w:hAnsi="Times New Roman"/>
                <w:b/>
                <w:bCs/>
                <w:sz w:val="24"/>
              </w:rPr>
            </w:pPr>
            <w:r>
              <w:rPr>
                <w:rFonts w:ascii="Times New Roman" w:hAnsi="Times New Roman"/>
                <w:b/>
                <w:sz w:val="24"/>
              </w:rPr>
              <w:t>Ποσό — Υπόκειται σε ανώτατο όριο 90 % στις εισροές</w:t>
            </w:r>
          </w:p>
          <w:p w14:paraId="2F755F35" w14:textId="478637DA" w:rsidR="007453EC" w:rsidRPr="000B6B22" w:rsidRDefault="007453EC">
            <w:pPr>
              <w:spacing w:before="0"/>
              <w:rPr>
                <w:rFonts w:ascii="Times New Roman" w:hAnsi="Times New Roman"/>
                <w:bCs/>
                <w:sz w:val="24"/>
              </w:rPr>
            </w:pPr>
            <w:r>
              <w:rPr>
                <w:rFonts w:ascii="Times New Roman" w:hAnsi="Times New Roman"/>
                <w:sz w:val="24"/>
              </w:rPr>
              <w:t>Άρθρα 32, 33 και 34 του κατ’ εξουσιοδότηση κανονισμού (ΕΕ) 2015/61</w:t>
            </w:r>
          </w:p>
          <w:p w14:paraId="7ACF83D6" w14:textId="41CBEF4C" w:rsidR="006F1DF5" w:rsidRPr="000B6B22" w:rsidRDefault="006F1DF5">
            <w:pPr>
              <w:spacing w:before="0"/>
              <w:rPr>
                <w:rFonts w:ascii="Times New Roman" w:hAnsi="Times New Roman"/>
                <w:bCs/>
                <w:sz w:val="24"/>
              </w:rPr>
            </w:pPr>
            <w:r>
              <w:rPr>
                <w:rFonts w:ascii="Times New Roman" w:hAnsi="Times New Roman"/>
                <w:sz w:val="24"/>
              </w:rPr>
              <w:t>Για τις γραμμές 0040, 0060-0090, 0120-0130, 0150-0260, 0269-0297, 0301-0303, 0309-0337, 0341-0345, 0450 και 0470-0510, τα πιστωτικά ιδρύματα αναφέρουν στη στήλη 0020 το συνολικό ποσό των στοιχείων ενεργητικού/των οφειλόμενων ποσών/μέγιστων ποσών που μπορούν να αναληφθούν και υπόκεινται στο ανώτατο όριο του 90 % για τις εισροές, όπως ορίζεται στο άρθρο 33 παράγραφοι 4 και 5 του κατ’ εξουσιοδότηση κανονισμού (ΕΕ) 2015/61 και σύμφωνα με τις σχετικές οδηγίες που περιλαμβάνονται εδώ.</w:t>
            </w:r>
          </w:p>
          <w:p w14:paraId="502241E3" w14:textId="30BDB5E8" w:rsidR="007453EC" w:rsidRPr="000B6B22" w:rsidRDefault="007453EC">
            <w:pPr>
              <w:spacing w:before="0"/>
              <w:rPr>
                <w:rFonts w:ascii="Times New Roman" w:hAnsi="Times New Roman"/>
                <w:bCs/>
                <w:sz w:val="24"/>
              </w:rPr>
            </w:pPr>
            <w:r>
              <w:rPr>
                <w:rFonts w:ascii="Times New Roman" w:hAnsi="Times New Roman"/>
                <w:sz w:val="24"/>
              </w:rPr>
              <w:t>Όταν μια αρμόδια αρχή επιτρέπει μερική εξαίρεση από το ανώτατο όριο για τις εισροές, σύμφωνα με το άρθρο 33 παράγραφος 2 του κατ’ εξουσιοδότηση κανονισμού (ΕΕ) 2015/61, το μέρος του ποσού που υπόκειται στην εξαίρεση αναφέρεται στη στήλη 0020 ή 0030 και το μέρος του ποσού που δεν υπόκειται στην εξαίρεση αναφέρεται στη στήλη 0010.</w:t>
            </w:r>
          </w:p>
        </w:tc>
      </w:tr>
      <w:tr w:rsidR="00B47B7D" w:rsidRPr="000B6B22" w14:paraId="109363B3" w14:textId="77777777" w:rsidTr="00D63CF5">
        <w:tc>
          <w:tcPr>
            <w:tcW w:w="957" w:type="dxa"/>
            <w:shd w:val="clear" w:color="auto" w:fill="auto"/>
            <w:vAlign w:val="center"/>
          </w:tcPr>
          <w:p w14:paraId="22DE5D8E" w14:textId="1DB4A027" w:rsidR="007453EC" w:rsidRPr="000B6B22" w:rsidRDefault="007E14B4">
            <w:pPr>
              <w:spacing w:before="0"/>
              <w:rPr>
                <w:rFonts w:ascii="Times New Roman" w:hAnsi="Times New Roman"/>
                <w:sz w:val="24"/>
              </w:rPr>
            </w:pPr>
            <w:r>
              <w:rPr>
                <w:rFonts w:ascii="Times New Roman" w:hAnsi="Times New Roman"/>
                <w:sz w:val="24"/>
              </w:rPr>
              <w:t>0030</w:t>
            </w:r>
          </w:p>
        </w:tc>
        <w:tc>
          <w:tcPr>
            <w:tcW w:w="7339" w:type="dxa"/>
            <w:gridSpan w:val="2"/>
            <w:shd w:val="clear" w:color="auto" w:fill="auto"/>
          </w:tcPr>
          <w:p w14:paraId="47B7D3B9" w14:textId="77777777" w:rsidR="007453EC" w:rsidRPr="000B6B22" w:rsidRDefault="007453EC">
            <w:pPr>
              <w:spacing w:before="0"/>
              <w:rPr>
                <w:rFonts w:ascii="Times New Roman" w:hAnsi="Times New Roman"/>
                <w:b/>
                <w:bCs/>
                <w:sz w:val="24"/>
              </w:rPr>
            </w:pPr>
            <w:r>
              <w:rPr>
                <w:rFonts w:ascii="Times New Roman" w:hAnsi="Times New Roman"/>
                <w:b/>
                <w:sz w:val="24"/>
              </w:rPr>
              <w:t>Ποσό — Εξαιρείται από το ανώτατο όριο στις εισροές</w:t>
            </w:r>
          </w:p>
          <w:p w14:paraId="72423074" w14:textId="04E28245" w:rsidR="007453EC" w:rsidRPr="000B6B22" w:rsidRDefault="007453EC">
            <w:pPr>
              <w:spacing w:before="0"/>
              <w:rPr>
                <w:rFonts w:ascii="Times New Roman" w:hAnsi="Times New Roman"/>
                <w:bCs/>
                <w:sz w:val="24"/>
              </w:rPr>
            </w:pPr>
            <w:r>
              <w:rPr>
                <w:rFonts w:ascii="Times New Roman" w:hAnsi="Times New Roman"/>
                <w:sz w:val="24"/>
              </w:rPr>
              <w:t>Άρθρα 32, 33 και 34 του κατ’ εξουσιοδότηση κανονισμού (ΕΕ) 2015/61</w:t>
            </w:r>
          </w:p>
          <w:p w14:paraId="007E9028" w14:textId="7213B8E0" w:rsidR="006F1DF5" w:rsidRPr="000B6B22" w:rsidRDefault="006F1DF5">
            <w:pPr>
              <w:spacing w:before="0"/>
              <w:rPr>
                <w:rFonts w:ascii="Times New Roman" w:hAnsi="Times New Roman"/>
                <w:bCs/>
                <w:sz w:val="24"/>
              </w:rPr>
            </w:pPr>
            <w:r>
              <w:rPr>
                <w:rFonts w:ascii="Times New Roman" w:hAnsi="Times New Roman"/>
                <w:sz w:val="24"/>
              </w:rPr>
              <w:t>Για τις γραμμές 0040, 0060-0090, 0120-0130, 0150-0260, 0269-0297, 0301-0303, 0309-0337, 0341-0345, 0450 και 0470-0510, τα πιστωτικά ιδρύματα αναφέρουν στη στήλη 0030 το συνολικό ποσό των στοιχείων ενεργητικού/των οφειλόμενων ποσών/μέγιστων ποσών που μπορούν να αναληφθούν και εξαιρούνται πλήρως από το ανώτατο όριο για τις εισροές, όπως ορίζεται στο άρθρο 33 παράγραφοι 2, 3 και 5 του κατ’ εξουσιοδότηση κανονισμού (ΕΕ) 2015/61 και σύμφωνα με τις σχετικές οδηγίες που περιλαμβάνονται εδώ.</w:t>
            </w:r>
          </w:p>
          <w:p w14:paraId="586E0A71" w14:textId="643ADBCB" w:rsidR="007453EC" w:rsidRPr="000B6B22" w:rsidRDefault="007453EC">
            <w:pPr>
              <w:spacing w:before="0"/>
              <w:rPr>
                <w:rFonts w:ascii="Times New Roman" w:hAnsi="Times New Roman"/>
                <w:bCs/>
                <w:sz w:val="24"/>
              </w:rPr>
            </w:pPr>
            <w:r>
              <w:rPr>
                <w:rFonts w:ascii="Times New Roman" w:hAnsi="Times New Roman"/>
                <w:sz w:val="24"/>
              </w:rPr>
              <w:lastRenderedPageBreak/>
              <w:t>Όταν μια αρμόδια αρχή επιτρέπει μερική εξαίρεση από το ανώτατο όριο για τις εισροές, σύμφωνα με το άρθρο 33 παράγραφος 2 του κατ’ εξουσιοδότηση κανονισμού (ΕΕ) 2015/61, το μέρος του ποσού που υπόκειται στην εξαίρεση αναφέρεται στη στήλη 0020 ή 0030 και το μέρος του ποσού που δεν υπόκειται στην εξαίρεση αναφέρεται στη στήλη 0010.</w:t>
            </w:r>
          </w:p>
        </w:tc>
      </w:tr>
      <w:tr w:rsidR="00B47B7D" w:rsidRPr="000B6B22" w14:paraId="40F797D6" w14:textId="77777777" w:rsidTr="00D63CF5">
        <w:tc>
          <w:tcPr>
            <w:tcW w:w="957" w:type="dxa"/>
            <w:shd w:val="clear" w:color="auto" w:fill="auto"/>
            <w:vAlign w:val="center"/>
          </w:tcPr>
          <w:p w14:paraId="01648AEB" w14:textId="20CD3DAA" w:rsidR="007453EC" w:rsidRPr="000B6B22" w:rsidRDefault="007E14B4">
            <w:pPr>
              <w:spacing w:before="0"/>
              <w:rPr>
                <w:rFonts w:ascii="Times New Roman" w:hAnsi="Times New Roman"/>
                <w:sz w:val="24"/>
              </w:rPr>
            </w:pPr>
            <w:r>
              <w:rPr>
                <w:rFonts w:ascii="Times New Roman" w:hAnsi="Times New Roman"/>
                <w:sz w:val="24"/>
              </w:rPr>
              <w:lastRenderedPageBreak/>
              <w:t>0040</w:t>
            </w:r>
          </w:p>
        </w:tc>
        <w:tc>
          <w:tcPr>
            <w:tcW w:w="7339" w:type="dxa"/>
            <w:gridSpan w:val="2"/>
            <w:shd w:val="clear" w:color="auto" w:fill="auto"/>
          </w:tcPr>
          <w:p w14:paraId="09321864" w14:textId="77777777" w:rsidR="007453EC" w:rsidRPr="000B6B22" w:rsidRDefault="007453EC">
            <w:pPr>
              <w:spacing w:before="0"/>
              <w:rPr>
                <w:rFonts w:ascii="Times New Roman" w:hAnsi="Times New Roman"/>
                <w:b/>
                <w:bCs/>
                <w:sz w:val="24"/>
              </w:rPr>
            </w:pPr>
            <w:r>
              <w:rPr>
                <w:rFonts w:ascii="Times New Roman" w:hAnsi="Times New Roman"/>
                <w:b/>
                <w:sz w:val="24"/>
              </w:rPr>
              <w:t>Αγοραία αξία των εξασφαλίσεων που έχουν ληφθεί — Υπόκειται σε ανώτατο όριο 75 % στις εισροές</w:t>
            </w:r>
          </w:p>
          <w:p w14:paraId="61DE5E96" w14:textId="204DFDE3" w:rsidR="007453EC" w:rsidRPr="000B6B22" w:rsidRDefault="007453EC">
            <w:pPr>
              <w:spacing w:before="0"/>
              <w:rPr>
                <w:rFonts w:ascii="Times New Roman" w:hAnsi="Times New Roman"/>
                <w:bCs/>
                <w:sz w:val="24"/>
              </w:rPr>
            </w:pPr>
            <w:r>
              <w:rPr>
                <w:rFonts w:ascii="Times New Roman" w:hAnsi="Times New Roman"/>
                <w:sz w:val="24"/>
              </w:rPr>
              <w:t>Άρθρα 32, 33 και 34 του κατ’ εξουσιοδότηση κανονισμού (ΕΕ) 2015/61</w:t>
            </w:r>
          </w:p>
          <w:p w14:paraId="2ADF96EB" w14:textId="78B6EB93" w:rsidR="007453EC" w:rsidRPr="000B6B22" w:rsidRDefault="006F1DF5">
            <w:pPr>
              <w:spacing w:before="0"/>
              <w:rPr>
                <w:rFonts w:ascii="Times New Roman" w:hAnsi="Times New Roman"/>
                <w:bCs/>
                <w:sz w:val="24"/>
              </w:rPr>
            </w:pPr>
            <w:r>
              <w:rPr>
                <w:rFonts w:ascii="Times New Roman" w:hAnsi="Times New Roman"/>
                <w:sz w:val="24"/>
              </w:rPr>
              <w:t>Για τις γραμμές 0269-0295, 0309-0335 και τη γραμμή 0490, τα πιστωτικά ιδρύματα αναφέρουν στη στήλη 0040 την αγοραία αξία των εξασφαλίσεων που λαμβάνονται στο πλαίσιο εξασφαλισμένων πιστοδοτήσεων και συναλλαγών με όρους κεφαλαιαγοράς που υπόκεινται στο ανώτατο όριο του 75 % για τις εισροές, όπως ορίζεται στο άρθρο 33 παράγραφος 1 του κατ’ εξουσιοδότηση κανονισμού (ΕΕ) 2015/61.</w:t>
            </w:r>
          </w:p>
          <w:p w14:paraId="5EAD7F40" w14:textId="002EE697" w:rsidR="007453EC" w:rsidRPr="000B6B22" w:rsidRDefault="007453EC">
            <w:pPr>
              <w:spacing w:before="0"/>
              <w:rPr>
                <w:rFonts w:ascii="Times New Roman" w:hAnsi="Times New Roman"/>
                <w:bCs/>
                <w:sz w:val="24"/>
              </w:rPr>
            </w:pPr>
            <w:r>
              <w:rPr>
                <w:rFonts w:ascii="Times New Roman" w:hAnsi="Times New Roman"/>
                <w:sz w:val="24"/>
              </w:rPr>
              <w:t>Όταν μια αρμόδια αρχή επιτρέπει μερική εξαίρεση από το ανώτατο όριο στις εισροές, σύμφωνα με το άρθρο 33 παράγραφος 2 του κατ’ εξουσιοδότηση κανονισμού (ΕΕ) 2015/61, η αγοραία αξία των εξασφαλίσεων που λαμβάνονται στο πλαίσιο εξασφαλισμένων πιστοδοτήσεων και συναλλαγών με όρους κεφαλαιαγοράς που υπόκεινται στην εξαίρεση αναφέρεται στη στήλη 0050 ή 0060 και η αγοραία αξία των εξασφαλίσεων που λαμβάνονται στο πλαίσιο εξασφαλισμένων πιστοδοτήσεων και συναλλαγών με όρους κεφαλαιαγοράς που δεν υπόκεινται στην εξαίρεση αναφέρεται στη στήλη 0040.</w:t>
            </w:r>
          </w:p>
        </w:tc>
      </w:tr>
      <w:tr w:rsidR="00B47B7D" w:rsidRPr="000B6B22" w14:paraId="7DA0066A" w14:textId="77777777" w:rsidTr="00D63CF5">
        <w:tc>
          <w:tcPr>
            <w:tcW w:w="957" w:type="dxa"/>
            <w:shd w:val="clear" w:color="auto" w:fill="auto"/>
            <w:vAlign w:val="center"/>
          </w:tcPr>
          <w:p w14:paraId="7588C18F" w14:textId="2A1BFB76" w:rsidR="007453EC" w:rsidRPr="000B6B22" w:rsidRDefault="007E14B4">
            <w:pPr>
              <w:spacing w:before="0"/>
              <w:rPr>
                <w:rFonts w:ascii="Times New Roman" w:hAnsi="Times New Roman"/>
                <w:sz w:val="24"/>
              </w:rPr>
            </w:pPr>
            <w:r>
              <w:rPr>
                <w:rFonts w:ascii="Times New Roman" w:hAnsi="Times New Roman"/>
                <w:sz w:val="24"/>
              </w:rPr>
              <w:t>0050</w:t>
            </w:r>
          </w:p>
        </w:tc>
        <w:tc>
          <w:tcPr>
            <w:tcW w:w="7339" w:type="dxa"/>
            <w:gridSpan w:val="2"/>
            <w:shd w:val="clear" w:color="auto" w:fill="auto"/>
          </w:tcPr>
          <w:p w14:paraId="1A767C78" w14:textId="77777777" w:rsidR="007453EC" w:rsidRPr="000B6B22" w:rsidRDefault="007453EC">
            <w:pPr>
              <w:spacing w:before="0"/>
              <w:rPr>
                <w:rFonts w:ascii="Times New Roman" w:hAnsi="Times New Roman"/>
                <w:b/>
                <w:bCs/>
                <w:sz w:val="24"/>
              </w:rPr>
            </w:pPr>
            <w:r>
              <w:rPr>
                <w:rFonts w:ascii="Times New Roman" w:hAnsi="Times New Roman"/>
                <w:b/>
                <w:sz w:val="24"/>
              </w:rPr>
              <w:t>Αγοραία αξία των εξασφαλίσεων που έχουν ληφθεί — Υπόκειται σε ανώτατο όριο 90 % στις εισροές</w:t>
            </w:r>
          </w:p>
          <w:p w14:paraId="4E91C243" w14:textId="01908594" w:rsidR="007453EC" w:rsidRPr="000B6B22" w:rsidRDefault="007453EC">
            <w:pPr>
              <w:spacing w:before="0"/>
              <w:rPr>
                <w:rFonts w:ascii="Times New Roman" w:hAnsi="Times New Roman"/>
                <w:bCs/>
                <w:sz w:val="24"/>
              </w:rPr>
            </w:pPr>
            <w:r>
              <w:rPr>
                <w:rFonts w:ascii="Times New Roman" w:hAnsi="Times New Roman"/>
                <w:sz w:val="24"/>
              </w:rPr>
              <w:t>Άρθρα 32, 33 και 34 του κατ’ εξουσιοδότηση κανονισμού (ΕΕ) 2015/61</w:t>
            </w:r>
          </w:p>
          <w:p w14:paraId="6CD388F1" w14:textId="29721BBC" w:rsidR="006F1DF5" w:rsidRPr="000B6B22" w:rsidRDefault="006F1DF5">
            <w:pPr>
              <w:spacing w:before="0"/>
              <w:rPr>
                <w:rFonts w:ascii="Times New Roman" w:hAnsi="Times New Roman"/>
                <w:bCs/>
                <w:sz w:val="24"/>
              </w:rPr>
            </w:pPr>
            <w:r>
              <w:rPr>
                <w:rFonts w:ascii="Times New Roman" w:hAnsi="Times New Roman"/>
                <w:sz w:val="24"/>
              </w:rPr>
              <w:t>Για τις γραμμές 0269-0295, 0309-0335 και τη γραμμή 0490, τα πιστωτικά ιδρύματα αναφέρουν στη στήλη 0050 την αγοραία αξία των εξασφαλίσεων που λαμβάνονται στο πλαίσιο εξασφαλισμένων πιστοδοτήσεων και συναλλαγών με όρους κεφαλαιαγοράς που υπόκεινται στο ανώτατο όριο του 90 % για τις εισροές, όπως ορίζεται στο άρθρο 33 παράγραφοι 4 και 5 του κατ’ εξουσιοδότηση κανονισμού (ΕΕ) 2015/61.</w:t>
            </w:r>
          </w:p>
          <w:p w14:paraId="64326D82" w14:textId="09244D8F" w:rsidR="007453EC" w:rsidRPr="000B6B22" w:rsidRDefault="007453EC">
            <w:pPr>
              <w:spacing w:before="0"/>
              <w:rPr>
                <w:rFonts w:ascii="Times New Roman" w:hAnsi="Times New Roman"/>
                <w:bCs/>
                <w:sz w:val="24"/>
              </w:rPr>
            </w:pPr>
            <w:r>
              <w:rPr>
                <w:rFonts w:ascii="Times New Roman" w:hAnsi="Times New Roman"/>
                <w:sz w:val="24"/>
              </w:rPr>
              <w:t>Όταν μια αρμόδια αρχή επιτρέπει μερική εξαίρεση από το ανώτατο όριο στις εισροές, σύμφωνα με το άρθρο 33 παράγραφος 2 του κατ’ εξουσιοδότηση κανονισμού (ΕΕ) 2015/61, η αγοραία αξία των εξασφαλίσεων που λαμβάνονται στο πλαίσιο εξασφαλισμένων πιστοδοτήσεων και συναλλαγών με όρους κεφαλαιαγοράς που υπόκεινται στην εξαίρεση αναφέρεται στη στήλη 0050 ή 0060 και η αγοραία αξία των εξασφαλίσεων που λαμβάνονται στο πλαίσιο εξασφαλισμένων πιστοδοτήσεων και συναλλαγών με όρους κεφαλαιαγοράς που δεν υπόκεινται στην εξαίρεση αναφέρεται στη στήλη 0040.</w:t>
            </w:r>
          </w:p>
        </w:tc>
      </w:tr>
      <w:tr w:rsidR="00B47B7D" w:rsidRPr="000B6B22" w14:paraId="56427B70" w14:textId="77777777" w:rsidTr="00D63CF5">
        <w:tc>
          <w:tcPr>
            <w:tcW w:w="957" w:type="dxa"/>
            <w:shd w:val="clear" w:color="auto" w:fill="auto"/>
            <w:vAlign w:val="center"/>
          </w:tcPr>
          <w:p w14:paraId="7F2309D0" w14:textId="3E58B076" w:rsidR="007453EC" w:rsidRPr="000B6B22" w:rsidRDefault="007E14B4">
            <w:pPr>
              <w:spacing w:before="0"/>
              <w:rPr>
                <w:rFonts w:ascii="Times New Roman" w:hAnsi="Times New Roman"/>
                <w:sz w:val="24"/>
              </w:rPr>
            </w:pPr>
            <w:r>
              <w:rPr>
                <w:rFonts w:ascii="Times New Roman" w:hAnsi="Times New Roman"/>
                <w:sz w:val="24"/>
              </w:rPr>
              <w:t>0060</w:t>
            </w:r>
          </w:p>
        </w:tc>
        <w:tc>
          <w:tcPr>
            <w:tcW w:w="7339" w:type="dxa"/>
            <w:gridSpan w:val="2"/>
            <w:shd w:val="clear" w:color="auto" w:fill="auto"/>
          </w:tcPr>
          <w:p w14:paraId="7E3C73C2" w14:textId="77777777" w:rsidR="007453EC" w:rsidRPr="000B6B22" w:rsidRDefault="007453EC">
            <w:pPr>
              <w:spacing w:before="0"/>
              <w:rPr>
                <w:rFonts w:ascii="Times New Roman" w:hAnsi="Times New Roman"/>
                <w:b/>
                <w:bCs/>
                <w:sz w:val="24"/>
              </w:rPr>
            </w:pPr>
            <w:r>
              <w:rPr>
                <w:rFonts w:ascii="Times New Roman" w:hAnsi="Times New Roman"/>
                <w:b/>
                <w:sz w:val="24"/>
              </w:rPr>
              <w:t>Αγοραία αξία των εξασφαλίσεων που έχουν ληφθεί — Εξαιρείται από το ανώτατο όριο στις εισροές</w:t>
            </w:r>
          </w:p>
          <w:p w14:paraId="7031DBC6" w14:textId="6E2075AB" w:rsidR="007453EC" w:rsidRPr="000B6B22" w:rsidRDefault="007453EC">
            <w:pPr>
              <w:spacing w:before="0"/>
              <w:rPr>
                <w:rFonts w:ascii="Times New Roman" w:hAnsi="Times New Roman"/>
                <w:bCs/>
                <w:sz w:val="24"/>
              </w:rPr>
            </w:pPr>
            <w:r>
              <w:rPr>
                <w:rFonts w:ascii="Times New Roman" w:hAnsi="Times New Roman"/>
                <w:sz w:val="24"/>
              </w:rPr>
              <w:t>Άρθρα 32, 33 και 34 του κατ’ εξουσιοδότηση κανονισμού (ΕΕ) 2015/61</w:t>
            </w:r>
          </w:p>
          <w:p w14:paraId="0923FFF4" w14:textId="1E77C133" w:rsidR="006F1DF5" w:rsidRPr="000B6B22" w:rsidRDefault="006F1DF5">
            <w:pPr>
              <w:spacing w:before="0"/>
              <w:rPr>
                <w:rFonts w:ascii="Times New Roman" w:hAnsi="Times New Roman"/>
                <w:bCs/>
                <w:sz w:val="24"/>
              </w:rPr>
            </w:pPr>
            <w:r>
              <w:rPr>
                <w:rFonts w:ascii="Times New Roman" w:hAnsi="Times New Roman"/>
                <w:sz w:val="24"/>
              </w:rPr>
              <w:t xml:space="preserve">Για τις γραμμές 0269-0295, 0309-0335 και τη γραμμή 0490, τα πιστωτικά ιδρύματα αναφέρουν στη στήλη 0060 την αγοραία αξία των εξασφαλίσεων </w:t>
            </w:r>
            <w:r>
              <w:rPr>
                <w:rFonts w:ascii="Times New Roman" w:hAnsi="Times New Roman"/>
                <w:sz w:val="24"/>
              </w:rPr>
              <w:lastRenderedPageBreak/>
              <w:t>που λαμβάνονται στο πλαίσιο εξασφαλισμένων πιστοδοτήσεων και συναλλαγών με όρους κεφαλαιαγοράς που εξαιρούνται πλήρως από το ανώτατο όριο για τις εισροές, όπως ορίζεται στο άρθρο 33 παράγραφοι 2, 3 και 5 του κατ’ εξουσιοδότηση κανονισμού (ΕΕ) 2015/61.</w:t>
            </w:r>
          </w:p>
          <w:p w14:paraId="19366161" w14:textId="415CEE37" w:rsidR="007453EC" w:rsidRPr="000B6B22" w:rsidRDefault="007453EC">
            <w:pPr>
              <w:spacing w:before="0"/>
              <w:rPr>
                <w:rFonts w:ascii="Times New Roman" w:hAnsi="Times New Roman"/>
                <w:bCs/>
                <w:sz w:val="24"/>
              </w:rPr>
            </w:pPr>
            <w:r>
              <w:rPr>
                <w:rFonts w:ascii="Times New Roman" w:hAnsi="Times New Roman"/>
                <w:sz w:val="24"/>
              </w:rPr>
              <w:t>Όταν μια αρμόδια αρχή επιτρέπει μερική εξαίρεση από το ανώτατο όριο στις εισροές, σύμφωνα με το άρθρο 33 παράγραφος 2 του κατ’ εξουσιοδότηση κανονισμού (ΕΕ) 2015/61, η αγοραία αξία των εξασφαλίσεων που λαμβάνονται στο πλαίσιο εξασφαλισμένων πιστοδοτήσεων και συναλλαγών με όρους κεφαλαιαγοράς που υπόκεινται στην εξαίρεση αναφέρεται στη στήλη 0050 ή 0060 και η αγοραία αξία των εξασφαλίσεων που λαμβάνονται στο πλαίσιο εξασφαλισμένων πιστοδοτήσεων και συναλλαγών με όρους κεφαλαιαγοράς που δεν υπόκεινται στην εξαίρεση αναφέρεται στη στήλη 0040.</w:t>
            </w:r>
          </w:p>
        </w:tc>
      </w:tr>
      <w:tr w:rsidR="00B47B7D" w:rsidRPr="000B6B22" w14:paraId="3CDDEA24" w14:textId="77777777" w:rsidTr="00D63CF5">
        <w:tc>
          <w:tcPr>
            <w:tcW w:w="957" w:type="dxa"/>
            <w:shd w:val="clear" w:color="auto" w:fill="auto"/>
            <w:vAlign w:val="center"/>
          </w:tcPr>
          <w:p w14:paraId="4F86502D" w14:textId="09465D17" w:rsidR="007453EC" w:rsidRPr="000B6B22" w:rsidRDefault="007453EC">
            <w:pPr>
              <w:spacing w:before="0"/>
              <w:rPr>
                <w:rFonts w:ascii="Times New Roman" w:hAnsi="Times New Roman"/>
                <w:sz w:val="24"/>
              </w:rPr>
            </w:pPr>
            <w:r>
              <w:rPr>
                <w:rFonts w:ascii="Times New Roman" w:hAnsi="Times New Roman"/>
                <w:sz w:val="24"/>
              </w:rPr>
              <w:lastRenderedPageBreak/>
              <w:t>0070</w:t>
            </w:r>
          </w:p>
        </w:tc>
        <w:tc>
          <w:tcPr>
            <w:tcW w:w="7339" w:type="dxa"/>
            <w:gridSpan w:val="2"/>
            <w:shd w:val="clear" w:color="auto" w:fill="auto"/>
          </w:tcPr>
          <w:p w14:paraId="6EBEBC0A" w14:textId="77777777" w:rsidR="007453EC" w:rsidRPr="000B6B22" w:rsidRDefault="007453EC">
            <w:pPr>
              <w:spacing w:before="0"/>
              <w:rPr>
                <w:rFonts w:ascii="Times New Roman" w:hAnsi="Times New Roman"/>
                <w:b/>
                <w:bCs/>
                <w:sz w:val="24"/>
              </w:rPr>
            </w:pPr>
            <w:r>
              <w:rPr>
                <w:rFonts w:ascii="Times New Roman" w:hAnsi="Times New Roman"/>
                <w:b/>
                <w:sz w:val="24"/>
              </w:rPr>
              <w:t>Πάγιος συντελεστής στάθμισης</w:t>
            </w:r>
          </w:p>
          <w:p w14:paraId="2640C8D7" w14:textId="1D875A0A" w:rsidR="007453EC" w:rsidRPr="000B6B22" w:rsidRDefault="007453EC">
            <w:pPr>
              <w:spacing w:before="0"/>
              <w:rPr>
                <w:rFonts w:ascii="Times New Roman" w:hAnsi="Times New Roman"/>
                <w:bCs/>
                <w:sz w:val="24"/>
              </w:rPr>
            </w:pPr>
            <w:r>
              <w:rPr>
                <w:rFonts w:ascii="Times New Roman" w:hAnsi="Times New Roman"/>
                <w:sz w:val="24"/>
              </w:rPr>
              <w:t>Άρθρα 32, 33 και 34 του κατ’ εξουσιοδότηση κανονισμού (ΕΕ) 2015/61</w:t>
            </w:r>
          </w:p>
          <w:p w14:paraId="1E65A7AA" w14:textId="252B9C82" w:rsidR="007453EC" w:rsidRPr="000B6B22" w:rsidRDefault="007453EC">
            <w:pPr>
              <w:spacing w:before="0"/>
              <w:rPr>
                <w:rFonts w:ascii="Times New Roman" w:hAnsi="Times New Roman"/>
                <w:bCs/>
                <w:sz w:val="24"/>
              </w:rPr>
            </w:pPr>
            <w:r>
              <w:rPr>
                <w:rFonts w:ascii="Times New Roman" w:hAnsi="Times New Roman"/>
                <w:sz w:val="24"/>
              </w:rPr>
              <w:t>Οι πάγιοι συντελεστές στάθμισης στη στήλη 0070 είναι εκείνοι που καθορίζονται στον κατ’ εξουσιοδότηση κανονισμό (ΕΕ) 2015/61 εξ ορισμού και παρέχονται μόνο για ενημερωτικούς λόγους.</w:t>
            </w:r>
          </w:p>
        </w:tc>
      </w:tr>
      <w:tr w:rsidR="00B47B7D" w:rsidRPr="000B6B22" w14:paraId="780CB2E1" w14:textId="77777777" w:rsidTr="00D63CF5">
        <w:tc>
          <w:tcPr>
            <w:tcW w:w="957" w:type="dxa"/>
            <w:shd w:val="clear" w:color="auto" w:fill="auto"/>
            <w:vAlign w:val="center"/>
          </w:tcPr>
          <w:p w14:paraId="286C4890" w14:textId="748E309C" w:rsidR="007453EC" w:rsidRPr="000B6B22" w:rsidRDefault="007453EC">
            <w:pPr>
              <w:spacing w:before="0"/>
              <w:rPr>
                <w:rFonts w:ascii="Times New Roman" w:hAnsi="Times New Roman"/>
                <w:sz w:val="24"/>
              </w:rPr>
            </w:pPr>
            <w:r>
              <w:rPr>
                <w:rFonts w:ascii="Times New Roman" w:hAnsi="Times New Roman"/>
                <w:sz w:val="24"/>
              </w:rPr>
              <w:t>0080</w:t>
            </w:r>
          </w:p>
        </w:tc>
        <w:tc>
          <w:tcPr>
            <w:tcW w:w="7339" w:type="dxa"/>
            <w:gridSpan w:val="2"/>
            <w:shd w:val="clear" w:color="auto" w:fill="auto"/>
          </w:tcPr>
          <w:p w14:paraId="5D287BDA" w14:textId="77777777" w:rsidR="007453EC" w:rsidRPr="000B6B22" w:rsidRDefault="007453EC">
            <w:pPr>
              <w:spacing w:before="0"/>
              <w:rPr>
                <w:rFonts w:ascii="Times New Roman" w:hAnsi="Times New Roman"/>
                <w:b/>
                <w:bCs/>
                <w:sz w:val="24"/>
              </w:rPr>
            </w:pPr>
            <w:r>
              <w:rPr>
                <w:rFonts w:ascii="Times New Roman" w:hAnsi="Times New Roman"/>
                <w:b/>
                <w:sz w:val="24"/>
              </w:rPr>
              <w:t>Εφαρμοστέος συντελεστής στάθμισης — Υπόκειται σε ανώτατο όριο 75 % στις εισροές</w:t>
            </w:r>
          </w:p>
          <w:p w14:paraId="7524353B" w14:textId="452AAC1D" w:rsidR="007453EC" w:rsidRPr="000B6B22" w:rsidRDefault="007453EC">
            <w:pPr>
              <w:spacing w:before="0"/>
              <w:rPr>
                <w:rFonts w:ascii="Times New Roman" w:hAnsi="Times New Roman"/>
                <w:bCs/>
                <w:sz w:val="24"/>
              </w:rPr>
            </w:pPr>
            <w:r>
              <w:rPr>
                <w:rFonts w:ascii="Times New Roman" w:hAnsi="Times New Roman"/>
                <w:sz w:val="24"/>
              </w:rPr>
              <w:t>Άρθρα 32, 33 και 34 του κατ’ εξουσιοδότηση κανονισμού (ΕΕ) 2015/61</w:t>
            </w:r>
          </w:p>
          <w:p w14:paraId="091B0CE0" w14:textId="06EF4275" w:rsidR="007453EC" w:rsidRPr="000B6B22" w:rsidRDefault="007453EC">
            <w:pPr>
              <w:spacing w:before="0"/>
              <w:rPr>
                <w:rFonts w:ascii="Times New Roman" w:hAnsi="Times New Roman"/>
                <w:bCs/>
                <w:sz w:val="24"/>
              </w:rPr>
            </w:pPr>
            <w:r>
              <w:rPr>
                <w:rFonts w:ascii="Times New Roman" w:hAnsi="Times New Roman"/>
                <w:sz w:val="24"/>
              </w:rPr>
              <w:t>Οι εφαρμοστέοι συντελεστές στάθμισης είναι εκείνοι που καθορίζονται στα άρθρα 32 έως 34 του κατ’ εξουσιοδότηση κανονισμού (ΕΕ) 2015/61. Οι εφαρμοστέοι συντελεστές στάθμισης μπορεί να οδηγήσουν σε σταθμισμένες μέσες τιμές και αναφέρονται σε δεκαδικά (δηλαδή 1,00 για εφαρμοστέο συντελεστή 100 τοις εκατό ή 0,50 για εφαρμοστέο συντελεστή 50 τοις εκατό). Οι εφαρμοστέοι συντελεστές στάθμισης μπορεί να αντικατοπτρίζουν ειδική διακριτική ευχέρεια εταιρειών ή κρατών μελών, αλλά δεν περιορίζονται σε αυτή.</w:t>
            </w:r>
          </w:p>
          <w:p w14:paraId="6CBF0AC2" w14:textId="139C6F61" w:rsidR="007453EC" w:rsidRPr="000B6B22" w:rsidRDefault="002A1DC6">
            <w:pPr>
              <w:spacing w:before="0"/>
              <w:rPr>
                <w:rFonts w:ascii="Times New Roman" w:hAnsi="Times New Roman"/>
                <w:bCs/>
                <w:sz w:val="24"/>
              </w:rPr>
            </w:pPr>
            <w:r>
              <w:rPr>
                <w:rFonts w:ascii="Times New Roman" w:hAnsi="Times New Roman"/>
                <w:sz w:val="24"/>
              </w:rPr>
              <w:t>Για τις γραμμές 0040, 0060-0090, 0120-0130, 0150-0260, 0269, 0273, 0277, 0281, 0285, 0289, 0293, 0301-0303, 0309, 0313, 0317, 0321, 0325, 0329, 0333, 0341-0345, 0450 και 0470 0510, τα πιστωτικά ιδρύματα αναφέρουν στη στήλη 0080 τον μέσο συντελεστή στάθμισης που εφαρμόζεται στα στοιχεία ενεργητικού/οφειλόμενα ποσά/μέγιστα ποσά που μπορούν να αναληφθούν και υπόκεινται στο ανώτατο όριο του 75 % για τις εισροές όπως ορίζεται στο άρθρο 33 παράγραφος 1 του κατ’ εξουσιοδότηση κανονισμού (ΕΕ) 2015/61.</w:t>
            </w:r>
          </w:p>
        </w:tc>
      </w:tr>
      <w:tr w:rsidR="00B47B7D" w:rsidRPr="000B6B22" w14:paraId="0DBF7E97" w14:textId="77777777" w:rsidTr="00D63CF5">
        <w:tc>
          <w:tcPr>
            <w:tcW w:w="957" w:type="dxa"/>
            <w:shd w:val="clear" w:color="auto" w:fill="auto"/>
            <w:vAlign w:val="center"/>
          </w:tcPr>
          <w:p w14:paraId="1A374C10" w14:textId="0982D3F2" w:rsidR="007453EC" w:rsidRPr="000B6B22" w:rsidRDefault="007E14B4">
            <w:pPr>
              <w:spacing w:before="0"/>
              <w:rPr>
                <w:rFonts w:ascii="Times New Roman" w:hAnsi="Times New Roman"/>
                <w:sz w:val="24"/>
              </w:rPr>
            </w:pPr>
            <w:r>
              <w:rPr>
                <w:rFonts w:ascii="Times New Roman" w:hAnsi="Times New Roman"/>
                <w:sz w:val="24"/>
              </w:rPr>
              <w:t>0090</w:t>
            </w:r>
          </w:p>
        </w:tc>
        <w:tc>
          <w:tcPr>
            <w:tcW w:w="7339" w:type="dxa"/>
            <w:gridSpan w:val="2"/>
            <w:shd w:val="clear" w:color="auto" w:fill="auto"/>
          </w:tcPr>
          <w:p w14:paraId="566DD20F" w14:textId="77777777" w:rsidR="007453EC" w:rsidRPr="000B6B22" w:rsidRDefault="007453EC">
            <w:pPr>
              <w:spacing w:before="0"/>
              <w:rPr>
                <w:rFonts w:ascii="Times New Roman" w:hAnsi="Times New Roman"/>
                <w:b/>
                <w:bCs/>
                <w:sz w:val="24"/>
              </w:rPr>
            </w:pPr>
            <w:r>
              <w:rPr>
                <w:rFonts w:ascii="Times New Roman" w:hAnsi="Times New Roman"/>
                <w:b/>
                <w:sz w:val="24"/>
              </w:rPr>
              <w:t>Εφαρμοστέος συντελεστής στάθμισης — Υπόκειται σε ανώτατο όριο 90 % στις εισροές</w:t>
            </w:r>
          </w:p>
          <w:p w14:paraId="4E2077E5" w14:textId="709CBDEB" w:rsidR="007453EC" w:rsidRPr="000B6B22" w:rsidRDefault="007453EC">
            <w:pPr>
              <w:spacing w:before="0"/>
              <w:rPr>
                <w:rFonts w:ascii="Times New Roman" w:hAnsi="Times New Roman"/>
                <w:bCs/>
                <w:sz w:val="24"/>
              </w:rPr>
            </w:pPr>
            <w:r>
              <w:rPr>
                <w:rFonts w:ascii="Times New Roman" w:hAnsi="Times New Roman"/>
                <w:sz w:val="24"/>
              </w:rPr>
              <w:t>Άρθρα 32, 33 και 34 του κατ’ εξουσιοδότηση κανονισμού (ΕΕ) 2015/61</w:t>
            </w:r>
          </w:p>
          <w:p w14:paraId="4EA45BFD" w14:textId="482ED7CE" w:rsidR="007453EC" w:rsidRPr="000B6B22" w:rsidRDefault="007453EC">
            <w:pPr>
              <w:spacing w:before="0"/>
              <w:rPr>
                <w:rFonts w:ascii="Times New Roman" w:hAnsi="Times New Roman"/>
                <w:bCs/>
                <w:sz w:val="24"/>
              </w:rPr>
            </w:pPr>
            <w:r>
              <w:rPr>
                <w:rFonts w:ascii="Times New Roman" w:hAnsi="Times New Roman"/>
                <w:sz w:val="24"/>
              </w:rPr>
              <w:t xml:space="preserve">Οι εφαρμοστέοι συντελεστές στάθμισης είναι εκείνοι που καθορίζονται στα άρθρα 32 έως 34 του κατ’ εξουσιοδότηση κανονισμού (ΕΕ) 2015/61. Οι εφαρμοστέοι συντελεστές στάθμισης μπορεί να οδηγήσουν σε σταθμισμένες μέσες τιμές και αναφέρονται σε δεκαδικά (δηλαδή 1,00 για εφαρμοστέο συντελεστή 100 τοις εκατό ή 0,50 για εφαρμοστέο συντελεστή 50 τοις εκατό). Οι εφαρμοστέοι συντελεστές στάθμισης </w:t>
            </w:r>
            <w:r>
              <w:rPr>
                <w:rFonts w:ascii="Times New Roman" w:hAnsi="Times New Roman"/>
                <w:sz w:val="24"/>
              </w:rPr>
              <w:lastRenderedPageBreak/>
              <w:t>μπορεί να αντικατοπτρίζουν ειδική διακριτική ευχέρεια εταιρειών ή κρατών μελών, αλλά δεν περιορίζονται σε αυτή.</w:t>
            </w:r>
          </w:p>
          <w:p w14:paraId="035923CF" w14:textId="2547393B" w:rsidR="007453EC" w:rsidRPr="000B6B22" w:rsidRDefault="002A1DC6">
            <w:pPr>
              <w:spacing w:before="0"/>
              <w:rPr>
                <w:rFonts w:ascii="Times New Roman" w:hAnsi="Times New Roman"/>
                <w:b/>
                <w:bCs/>
                <w:sz w:val="24"/>
              </w:rPr>
            </w:pPr>
            <w:r>
              <w:rPr>
                <w:rFonts w:ascii="Times New Roman" w:hAnsi="Times New Roman"/>
                <w:sz w:val="24"/>
              </w:rPr>
              <w:t xml:space="preserve">Για τις γραμμές 0040, 0060-0090, 0120-0130, 0150-0260, 0269, 0273, 0277, 0281, 0285, 0289, 0293, 0301-0303, 0309, 0313, 0317, 0321, 0325, 0329, 0333, 0341-0345, 0450 και 0470-0510, τα πιστωτικά ιδρύματα αναφέρουν στη στήλη 0090 τον μέσο συντελεστή στάθμισης που εφαρμόζεται στα στοιχεία ενεργητικού/οφειλόμενα ποσά/μέγιστα ποσά που μπορούν να αναληφθούν και υπόκεινται στο ανώτατο όριο του 90 % για τις εισροές, όπως ορίζεται στο άρθρο 33 παράγραφοι 4 και 5 του κατ’ εξουσιοδότηση κανονισμού (ΕΕ) 2015/61. </w:t>
            </w:r>
          </w:p>
        </w:tc>
      </w:tr>
      <w:tr w:rsidR="00B47B7D" w:rsidRPr="000B6B22" w14:paraId="72CA254B" w14:textId="77777777" w:rsidTr="00D63CF5">
        <w:tc>
          <w:tcPr>
            <w:tcW w:w="957" w:type="dxa"/>
            <w:shd w:val="clear" w:color="auto" w:fill="auto"/>
            <w:vAlign w:val="center"/>
          </w:tcPr>
          <w:p w14:paraId="066817CA" w14:textId="2F6651F4" w:rsidR="007453EC" w:rsidRPr="000B6B22" w:rsidRDefault="007E14B4">
            <w:pPr>
              <w:spacing w:before="0"/>
              <w:rPr>
                <w:rFonts w:ascii="Times New Roman" w:hAnsi="Times New Roman"/>
                <w:sz w:val="24"/>
              </w:rPr>
            </w:pPr>
            <w:r>
              <w:rPr>
                <w:rFonts w:ascii="Times New Roman" w:hAnsi="Times New Roman"/>
                <w:sz w:val="24"/>
              </w:rPr>
              <w:lastRenderedPageBreak/>
              <w:t>0100</w:t>
            </w:r>
          </w:p>
        </w:tc>
        <w:tc>
          <w:tcPr>
            <w:tcW w:w="7339" w:type="dxa"/>
            <w:gridSpan w:val="2"/>
            <w:shd w:val="clear" w:color="auto" w:fill="auto"/>
          </w:tcPr>
          <w:p w14:paraId="626544F2" w14:textId="77777777" w:rsidR="007453EC" w:rsidRPr="000B6B22" w:rsidRDefault="007453EC">
            <w:pPr>
              <w:spacing w:before="0"/>
              <w:rPr>
                <w:rFonts w:ascii="Times New Roman" w:hAnsi="Times New Roman"/>
                <w:b/>
                <w:bCs/>
                <w:sz w:val="24"/>
              </w:rPr>
            </w:pPr>
            <w:r>
              <w:rPr>
                <w:rFonts w:ascii="Times New Roman" w:hAnsi="Times New Roman"/>
                <w:b/>
                <w:sz w:val="24"/>
              </w:rPr>
              <w:t>Εφαρμοστέος συντελεστής στάθμισης — Εξαιρείται από το ανώτατο όριο στις εισροές</w:t>
            </w:r>
          </w:p>
          <w:p w14:paraId="6212EA54" w14:textId="59D2CEBF" w:rsidR="007453EC" w:rsidRPr="000B6B22" w:rsidRDefault="007453EC">
            <w:pPr>
              <w:spacing w:before="0"/>
              <w:rPr>
                <w:rFonts w:ascii="Times New Roman" w:hAnsi="Times New Roman"/>
                <w:bCs/>
                <w:sz w:val="24"/>
              </w:rPr>
            </w:pPr>
            <w:r>
              <w:rPr>
                <w:rFonts w:ascii="Times New Roman" w:hAnsi="Times New Roman"/>
                <w:sz w:val="24"/>
              </w:rPr>
              <w:t>Άρθρα 32, 33 και 34 του κατ’ εξουσιοδότηση κανονισμού (ΕΕ) 2015/61</w:t>
            </w:r>
          </w:p>
          <w:p w14:paraId="0AB4805F" w14:textId="07525D8A" w:rsidR="007453EC" w:rsidRPr="000B6B22" w:rsidRDefault="007453EC">
            <w:pPr>
              <w:spacing w:before="0"/>
              <w:rPr>
                <w:rFonts w:ascii="Times New Roman" w:hAnsi="Times New Roman"/>
                <w:bCs/>
                <w:sz w:val="24"/>
              </w:rPr>
            </w:pPr>
            <w:r>
              <w:rPr>
                <w:rFonts w:ascii="Times New Roman" w:hAnsi="Times New Roman"/>
                <w:sz w:val="24"/>
              </w:rPr>
              <w:t>Οι εφαρμοστέοι συντελεστές στάθμισης είναι εκείνοι που καθορίζονται στα άρθρα 32 έως 34 του κατ’ εξουσιοδότηση κανονισμού (ΕΕ) 2015/61. Οι εφαρμοστέοι συντελεστές στάθμισης μπορεί να οδηγήσουν σε σταθμισμένες μέσες τιμές και αναφέρονται σε δεκαδικά (δηλαδή 1,00 για εφαρμοστέο συντελεστή 100 τοις εκατό ή 0,50 για εφαρμοστέο συντελεστή 50 τοις εκατό). Οι εφαρμοστέοι συντελεστές στάθμισης μπορεί να αντικατοπτρίζουν ειδική διακριτική ευχέρεια εταιρειών ή κρατών μελών, αλλά δεν περιορίζονται σε αυτή.</w:t>
            </w:r>
          </w:p>
          <w:p w14:paraId="1C43DEE1" w14:textId="42323BF5" w:rsidR="007453EC" w:rsidRPr="000B6B22" w:rsidRDefault="002A1DC6">
            <w:pPr>
              <w:spacing w:before="0"/>
              <w:rPr>
                <w:rFonts w:ascii="Times New Roman" w:hAnsi="Times New Roman"/>
                <w:b/>
                <w:bCs/>
                <w:sz w:val="24"/>
              </w:rPr>
            </w:pPr>
            <w:r>
              <w:rPr>
                <w:rFonts w:ascii="Times New Roman" w:hAnsi="Times New Roman"/>
                <w:sz w:val="24"/>
              </w:rPr>
              <w:t>Για τις γραμμές 0040, 0060-0090, 0120-0130, 0150-0260, 0269, 0273, 0277, 0281, 0285, 0289, 0293, 0301-0303, 0309, 0313, 0317, 0321, 0325, 0329, 0333, 0341-0345, 0450 και 0470-0510, τα πιστωτικά ιδρύματα αναφέρουν στη στήλη 0100 τον μέσο συντελεστή στάθμισης που εφαρμόζεται στα στοιχεία ενεργητικού/τα οφειλόμενα ποσά/μέγιστα ποσά που μπορούν να αναληφθούν και εξαιρούνται από το ανώτατο όριο στις εισροές, όπως ορίζεται στο άρθρο 33 παράγραφοι 2, 3 και 5 του κατ’ εξουσιοδότηση κανονισμού (ΕΕ) 2015/61.</w:t>
            </w:r>
          </w:p>
        </w:tc>
      </w:tr>
      <w:tr w:rsidR="00B47B7D" w:rsidRPr="000B6B22" w14:paraId="6DFA198E" w14:textId="77777777" w:rsidTr="00D63CF5">
        <w:tc>
          <w:tcPr>
            <w:tcW w:w="957" w:type="dxa"/>
            <w:shd w:val="clear" w:color="auto" w:fill="auto"/>
            <w:vAlign w:val="center"/>
          </w:tcPr>
          <w:p w14:paraId="500599FE" w14:textId="5591BE28" w:rsidR="007453EC" w:rsidRPr="000B6B22" w:rsidRDefault="007E14B4">
            <w:pPr>
              <w:spacing w:before="0"/>
              <w:rPr>
                <w:rFonts w:ascii="Times New Roman" w:hAnsi="Times New Roman"/>
                <w:sz w:val="24"/>
              </w:rPr>
            </w:pPr>
            <w:r>
              <w:rPr>
                <w:rFonts w:ascii="Times New Roman" w:hAnsi="Times New Roman"/>
                <w:sz w:val="24"/>
              </w:rPr>
              <w:t>0110</w:t>
            </w:r>
          </w:p>
        </w:tc>
        <w:tc>
          <w:tcPr>
            <w:tcW w:w="7339" w:type="dxa"/>
            <w:gridSpan w:val="2"/>
            <w:shd w:val="clear" w:color="auto" w:fill="auto"/>
          </w:tcPr>
          <w:p w14:paraId="01F186E9" w14:textId="5EC19487" w:rsidR="007453EC" w:rsidRPr="000B6B22" w:rsidRDefault="007453EC">
            <w:pPr>
              <w:spacing w:before="0"/>
              <w:rPr>
                <w:rFonts w:ascii="Times New Roman" w:hAnsi="Times New Roman"/>
                <w:b/>
                <w:bCs/>
                <w:sz w:val="24"/>
              </w:rPr>
            </w:pPr>
            <w:r>
              <w:rPr>
                <w:rFonts w:ascii="Times New Roman" w:hAnsi="Times New Roman"/>
                <w:b/>
                <w:sz w:val="24"/>
              </w:rPr>
              <w:t>Αξία της λαμβανόμενης εξασφάλισης σύμφωνα με το άρθρο 9 — Υπόκειται σε ανώτατο όριο 75 % στις εισροές</w:t>
            </w:r>
          </w:p>
          <w:p w14:paraId="29D13FC2" w14:textId="436BEE76" w:rsidR="007453EC" w:rsidRPr="000B6B22" w:rsidRDefault="007453EC">
            <w:pPr>
              <w:spacing w:before="0"/>
              <w:rPr>
                <w:rFonts w:ascii="Times New Roman" w:hAnsi="Times New Roman"/>
                <w:bCs/>
                <w:sz w:val="24"/>
              </w:rPr>
            </w:pPr>
            <w:r>
              <w:rPr>
                <w:rFonts w:ascii="Times New Roman" w:hAnsi="Times New Roman"/>
                <w:sz w:val="24"/>
              </w:rPr>
              <w:t>Άρθρα 32, 33 και 34 του κατ’ εξουσιοδότηση κανονισμού (ΕΕ) 2015/61</w:t>
            </w:r>
          </w:p>
          <w:p w14:paraId="0A1DFECB" w14:textId="4488C2C0" w:rsidR="002A1DC6" w:rsidRPr="000B6B22" w:rsidRDefault="002A1DC6">
            <w:pPr>
              <w:spacing w:before="0"/>
              <w:rPr>
                <w:rFonts w:ascii="Times New Roman" w:hAnsi="Times New Roman"/>
                <w:bCs/>
                <w:sz w:val="24"/>
              </w:rPr>
            </w:pPr>
            <w:r>
              <w:rPr>
                <w:rFonts w:ascii="Times New Roman" w:hAnsi="Times New Roman"/>
                <w:sz w:val="24"/>
              </w:rPr>
              <w:t>Για τις γραμμές 0271, 0275, 0279, 0283, 0287, 0291, 0295, 0311, 0315, 0319, 0323, 0327, 0331 και 0335, τα πιστωτικά ιδρύματα αναφέρουν στη στήλη 0110 την αξία των εξασφαλίσεων που λαμβάνονται σύμφωνα με το άρθρο 9 του κατ’ εξουσιοδότηση κανονισμού (ΕΕ) 2015/61 στο πλαίσιο εξασφαλισμένων πιστοδοτήσεων και συναλλαγών με όρους κεφαλαιαγοράς που υπόκεινται στο ανώτατο όριο του 75 % για τις εισροές, όπως ορίζεται στο άρθρο 33 παράγραφος 1 του κατ’ εξουσιοδότηση κανονισμού (ΕΕ) 2015/61.</w:t>
            </w:r>
          </w:p>
          <w:p w14:paraId="3F8BB70C" w14:textId="713A15DE" w:rsidR="007453EC" w:rsidRPr="000B6B22" w:rsidRDefault="007453EC">
            <w:pPr>
              <w:spacing w:before="0"/>
              <w:rPr>
                <w:rFonts w:ascii="Times New Roman" w:hAnsi="Times New Roman"/>
                <w:bCs/>
                <w:sz w:val="24"/>
              </w:rPr>
            </w:pPr>
            <w:r>
              <w:rPr>
                <w:rFonts w:ascii="Times New Roman" w:hAnsi="Times New Roman"/>
                <w:sz w:val="24"/>
              </w:rPr>
              <w:t xml:space="preserve">Όταν μια αρμόδια αρχή επιτρέπει μερική εξαίρεση από το ανώτατο όριο για τις εισροές, σύμφωνα με το άρθρο 33 παράγραφος 2 του κατ’ εξουσιοδότηση κανονισμού (ΕΕ) 2015/61, η αξία των εξασφαλίσεων που λαμβάνονται σύμφωνα με το άρθρο 9 του κατ’ εξουσιοδότηση κανονισμού (ΕΕ) 2015/61 στο πλαίσιο εξασφαλισμένων πιστοδοτήσεων και συναλλαγών με όρους κεφαλαιαγοράς που υπόκεινται στην εξαίρεση αναφέρεται στη στήλη 0120 ή 0130 και η αξία των εξασφαλίσεων που </w:t>
            </w:r>
            <w:r>
              <w:rPr>
                <w:rFonts w:ascii="Times New Roman" w:hAnsi="Times New Roman"/>
                <w:sz w:val="24"/>
              </w:rPr>
              <w:lastRenderedPageBreak/>
              <w:t>λαμβάνονται σύμφωνα με το άρθρο 9 του κατ’ εξουσιοδότηση κανονισμού (ΕΕ) 2015/61 στο πλαίσιο εξασφαλισμένων πιστοδοτήσεων και συναλλαγών με όρους κεφαλαιαγοράς που δεν υπόκεινται στην εξαίρεση αναφέρεται στη στήλη 0110.</w:t>
            </w:r>
          </w:p>
        </w:tc>
      </w:tr>
      <w:tr w:rsidR="00B47B7D" w:rsidRPr="000B6B22" w14:paraId="4E3D6FD5" w14:textId="77777777" w:rsidTr="00D63CF5">
        <w:tc>
          <w:tcPr>
            <w:tcW w:w="957" w:type="dxa"/>
            <w:shd w:val="clear" w:color="auto" w:fill="auto"/>
            <w:vAlign w:val="center"/>
          </w:tcPr>
          <w:p w14:paraId="2EB35765" w14:textId="505CE93E" w:rsidR="007453EC" w:rsidRPr="000B6B22" w:rsidRDefault="007E14B4">
            <w:pPr>
              <w:spacing w:before="0"/>
              <w:rPr>
                <w:rFonts w:ascii="Times New Roman" w:hAnsi="Times New Roman"/>
                <w:sz w:val="24"/>
              </w:rPr>
            </w:pPr>
            <w:r>
              <w:rPr>
                <w:rFonts w:ascii="Times New Roman" w:hAnsi="Times New Roman"/>
                <w:sz w:val="24"/>
              </w:rPr>
              <w:lastRenderedPageBreak/>
              <w:t>0120</w:t>
            </w:r>
          </w:p>
        </w:tc>
        <w:tc>
          <w:tcPr>
            <w:tcW w:w="7339" w:type="dxa"/>
            <w:gridSpan w:val="2"/>
            <w:shd w:val="clear" w:color="auto" w:fill="auto"/>
          </w:tcPr>
          <w:p w14:paraId="312C8C71" w14:textId="043DB08A" w:rsidR="007453EC" w:rsidRPr="000B6B22" w:rsidRDefault="007453EC">
            <w:pPr>
              <w:spacing w:before="0"/>
              <w:rPr>
                <w:rFonts w:ascii="Times New Roman" w:hAnsi="Times New Roman"/>
                <w:b/>
                <w:bCs/>
                <w:sz w:val="24"/>
              </w:rPr>
            </w:pPr>
            <w:r>
              <w:rPr>
                <w:rFonts w:ascii="Times New Roman" w:hAnsi="Times New Roman"/>
                <w:b/>
                <w:sz w:val="24"/>
              </w:rPr>
              <w:t>Αξία της λαμβανόμενης εξασφάλισης σύμφωνα με το άρθρο 9 — Υπόκειται σε ανώτατο όριο 90 % στις εισροές</w:t>
            </w:r>
          </w:p>
          <w:p w14:paraId="1514A139" w14:textId="4DAA4B50" w:rsidR="007453EC" w:rsidRPr="000B6B22" w:rsidRDefault="007453EC">
            <w:pPr>
              <w:spacing w:before="0"/>
              <w:rPr>
                <w:rFonts w:ascii="Times New Roman" w:hAnsi="Times New Roman"/>
                <w:bCs/>
                <w:sz w:val="24"/>
              </w:rPr>
            </w:pPr>
            <w:r>
              <w:rPr>
                <w:rFonts w:ascii="Times New Roman" w:hAnsi="Times New Roman"/>
                <w:sz w:val="24"/>
              </w:rPr>
              <w:t>Άρθρα 32, 33 και 34 του κατ’ εξουσιοδότηση κανονισμού (ΕΕ) 2015/61</w:t>
            </w:r>
          </w:p>
          <w:p w14:paraId="11F56268" w14:textId="4E8DA150" w:rsidR="002A1DC6" w:rsidRPr="000B6B22" w:rsidRDefault="002A1DC6">
            <w:pPr>
              <w:spacing w:before="0"/>
              <w:rPr>
                <w:rFonts w:ascii="Times New Roman" w:hAnsi="Times New Roman"/>
                <w:bCs/>
                <w:sz w:val="24"/>
              </w:rPr>
            </w:pPr>
            <w:r>
              <w:rPr>
                <w:rFonts w:ascii="Times New Roman" w:hAnsi="Times New Roman"/>
                <w:sz w:val="24"/>
              </w:rPr>
              <w:t>Για τις γραμμές 0271, 0275, 0279, 0283, 0287, 0291, 0295, 0311, 0315, 0319, 0323, 0327, 0331 και 0335, τα πιστωτικά ιδρύματα αναφέρουν στη στήλη 0120 την αξία των εξασφαλίσεων που λαμβάνονται σύμφωνα με το άρθρο 9 του κατ’ εξουσιοδότηση κανονισμού (ΕΕ) 2015/61 στο πλαίσιο εξασφαλισμένων πιστοδοτήσεων και συναλλαγών με όρους κεφαλαιαγοράς που υπόκεινται στο ανώτατο όριο του 90 % για τις εισροές, όπως ορίζεται στο άρθρο 33 παράγραφοι 4 και 5 του κατ’ εξουσιοδότηση κανονισμού (ΕΕ) 2015/61.</w:t>
            </w:r>
          </w:p>
          <w:p w14:paraId="56B73A1E" w14:textId="431CCAA1" w:rsidR="007453EC" w:rsidRPr="000B6B22" w:rsidRDefault="007453EC">
            <w:pPr>
              <w:spacing w:before="0"/>
              <w:rPr>
                <w:rFonts w:ascii="Times New Roman" w:hAnsi="Times New Roman"/>
                <w:bCs/>
                <w:sz w:val="24"/>
              </w:rPr>
            </w:pPr>
            <w:r>
              <w:rPr>
                <w:rFonts w:ascii="Times New Roman" w:hAnsi="Times New Roman"/>
                <w:sz w:val="24"/>
              </w:rPr>
              <w:t>Όταν μια αρμόδια αρχή επιτρέπει μερική εξαίρεση από το ανώτατο όριο για τις εισροές, σύμφωνα με το άρθρο 33 παράγραφος 2 του κατ’ εξουσιοδότηση κανονισμού (ΕΕ) 2015/61, η αξία των εξασφαλίσεων που λαμβάνονται σύμφωνα με το άρθρο 9 του κατ’ εξουσιοδότηση κανονισμού (ΕΕ) 2015/61 στο πλαίσιο εξασφαλισμένων πιστοδοτήσεων και συναλλαγών με όρους κεφαλαιαγοράς που υπόκεινται στην εξαίρεση αναφέρεται στη στήλη 0120 ή 0130 και η αξία των εξασφαλίσεων που λαμβάνονται σύμφωνα με το άρθρο 9 του κατ’ εξουσιοδότηση κανονισμού (ΕΕ) 2015/61 στο πλαίσιο εξασφαλισμένων πιστοδοτήσεων και συναλλαγών με όρους κεφαλαιαγοράς που δεν υπόκεινται στην εξαίρεση αναφέρεται στη στήλη 0110.</w:t>
            </w:r>
          </w:p>
        </w:tc>
      </w:tr>
      <w:tr w:rsidR="00B47B7D" w:rsidRPr="000B6B22" w14:paraId="4C9430AE" w14:textId="77777777" w:rsidTr="00D63CF5">
        <w:tc>
          <w:tcPr>
            <w:tcW w:w="957" w:type="dxa"/>
            <w:shd w:val="clear" w:color="auto" w:fill="auto"/>
            <w:vAlign w:val="center"/>
          </w:tcPr>
          <w:p w14:paraId="25F81D8A" w14:textId="0D7C70C1" w:rsidR="007453EC" w:rsidRPr="000B6B22" w:rsidRDefault="007E14B4">
            <w:pPr>
              <w:spacing w:before="0"/>
              <w:rPr>
                <w:rFonts w:ascii="Times New Roman" w:hAnsi="Times New Roman"/>
                <w:sz w:val="24"/>
              </w:rPr>
            </w:pPr>
            <w:r>
              <w:rPr>
                <w:rFonts w:ascii="Times New Roman" w:hAnsi="Times New Roman"/>
                <w:sz w:val="24"/>
              </w:rPr>
              <w:t>0130</w:t>
            </w:r>
          </w:p>
        </w:tc>
        <w:tc>
          <w:tcPr>
            <w:tcW w:w="7339" w:type="dxa"/>
            <w:gridSpan w:val="2"/>
            <w:shd w:val="clear" w:color="auto" w:fill="auto"/>
          </w:tcPr>
          <w:p w14:paraId="3A9204D6" w14:textId="7700B381" w:rsidR="007453EC" w:rsidRPr="000B6B22" w:rsidRDefault="007453EC">
            <w:pPr>
              <w:spacing w:before="0"/>
              <w:rPr>
                <w:rFonts w:ascii="Times New Roman" w:hAnsi="Times New Roman"/>
                <w:b/>
                <w:bCs/>
                <w:sz w:val="24"/>
              </w:rPr>
            </w:pPr>
            <w:r>
              <w:rPr>
                <w:rFonts w:ascii="Times New Roman" w:hAnsi="Times New Roman"/>
                <w:b/>
                <w:sz w:val="24"/>
              </w:rPr>
              <w:t>Αξία της λαμβανόμενης εξασφάλισης σύμφωνα με το άρθρο 9 — Εξαιρείται από το ανώτατο όριο στις εισροές</w:t>
            </w:r>
          </w:p>
          <w:p w14:paraId="0ED04715" w14:textId="70F345A9" w:rsidR="007453EC" w:rsidRPr="000B6B22" w:rsidRDefault="007453EC">
            <w:pPr>
              <w:spacing w:before="0"/>
              <w:rPr>
                <w:rFonts w:ascii="Times New Roman" w:hAnsi="Times New Roman"/>
                <w:bCs/>
                <w:sz w:val="24"/>
              </w:rPr>
            </w:pPr>
            <w:r>
              <w:rPr>
                <w:rFonts w:ascii="Times New Roman" w:hAnsi="Times New Roman"/>
                <w:sz w:val="24"/>
              </w:rPr>
              <w:t>Άρθρα 32, 33 και 34 του κατ’ εξουσιοδότηση κανονισμού (ΕΕ) 2015/61</w:t>
            </w:r>
          </w:p>
          <w:p w14:paraId="0685802D" w14:textId="22087C39" w:rsidR="002A1DC6" w:rsidRPr="000B6B22" w:rsidRDefault="002A1DC6">
            <w:pPr>
              <w:spacing w:before="0"/>
              <w:rPr>
                <w:rFonts w:ascii="Times New Roman" w:hAnsi="Times New Roman"/>
                <w:bCs/>
                <w:sz w:val="24"/>
              </w:rPr>
            </w:pPr>
            <w:r>
              <w:rPr>
                <w:rFonts w:ascii="Times New Roman" w:hAnsi="Times New Roman"/>
                <w:sz w:val="24"/>
              </w:rPr>
              <w:t>Για τις γραμμές 0271, 0275, 0279, 0283, 0287, 0291, 0295, 0311, 0315, 0319, 0323, 0327, 0331 και 0335, τα πιστωτικά ιδρύματα αναφέρουν στη στήλη 0130 την αξία των εξασφαλίσεων που λαμβάνονται σύμφωνα με το άρθρο 9 του κατ’ εξουσιοδότηση κανονισμού (ΕΕ) 2015/61 στο πλαίσιο εξασφαλισμένων πιστοδοτήσεων και συναλλαγών με όρους κεφαλαιαγοράς που εξαιρούνται πλήρως από το ανώτατο όριο για τις εισροές, όπως ορίζεται στο άρθρο 33 παράγραφοι 2, 3 και 5 του κατ’ εξουσιοδότηση κανονισμού (ΕΕ) 2015/61.</w:t>
            </w:r>
          </w:p>
          <w:p w14:paraId="78400F34" w14:textId="28DE2D1B" w:rsidR="007453EC" w:rsidRPr="000B6B22" w:rsidRDefault="007453EC">
            <w:pPr>
              <w:spacing w:before="0"/>
              <w:rPr>
                <w:rFonts w:ascii="Times New Roman" w:hAnsi="Times New Roman"/>
                <w:bCs/>
                <w:sz w:val="24"/>
              </w:rPr>
            </w:pPr>
            <w:r>
              <w:rPr>
                <w:rFonts w:ascii="Times New Roman" w:hAnsi="Times New Roman"/>
                <w:sz w:val="24"/>
              </w:rPr>
              <w:t xml:space="preserve">Όταν μια αρμόδια αρχή επιτρέπει μερική εξαίρεση από το ανώτατο όριο για τις εισροές, σύμφωνα με το άρθρο 33 παράγραφος 2 του κατ’ εξουσιοδότηση κανονισμού (ΕΕ) 2015/61, η αξία των εξασφαλίσεων που λαμβάνονται σύμφωνα με το άρθρο 9 του κατ’ εξουσιοδότηση κανονισμού (ΕΕ) 2015/61 στο πλαίσιο εξασφαλισμένων πιστοδοτήσεων και συναλλαγών με όρους κεφαλαιαγοράς που υπόκεινται στην εξαίρεση αναφέρεται στη στήλη 0120 ή 0130 και η αξία των εξασφαλίσεων που λαμβάνονται σύμφωνα με το άρθρο 9 του κατ’ εξουσιοδότηση κανονισμού (ΕΕ) 2015/61 στο πλαίσιο εξασφαλισμένων πιστοδοτήσεων και </w:t>
            </w:r>
            <w:r>
              <w:rPr>
                <w:rFonts w:ascii="Times New Roman" w:hAnsi="Times New Roman"/>
                <w:sz w:val="24"/>
              </w:rPr>
              <w:lastRenderedPageBreak/>
              <w:t>συναλλαγών με όρους κεφαλαιαγοράς που δεν υπόκεινται στην εξαίρεση αναφέρεται στη στήλη 0110.</w:t>
            </w:r>
          </w:p>
        </w:tc>
      </w:tr>
      <w:tr w:rsidR="00B47B7D" w:rsidRPr="000B6B22" w14:paraId="66F4B4C7" w14:textId="77777777" w:rsidTr="00CB45E9">
        <w:tc>
          <w:tcPr>
            <w:tcW w:w="994" w:type="dxa"/>
            <w:gridSpan w:val="2"/>
            <w:shd w:val="clear" w:color="auto" w:fill="auto"/>
            <w:vAlign w:val="center"/>
          </w:tcPr>
          <w:p w14:paraId="18BCFB4B" w14:textId="6D92EA98" w:rsidR="007453EC" w:rsidRPr="000B6B22" w:rsidRDefault="007E14B4">
            <w:pPr>
              <w:spacing w:before="0"/>
              <w:rPr>
                <w:rFonts w:ascii="Times New Roman" w:hAnsi="Times New Roman"/>
                <w:sz w:val="24"/>
              </w:rPr>
            </w:pPr>
            <w:r>
              <w:rPr>
                <w:rFonts w:ascii="Times New Roman" w:hAnsi="Times New Roman"/>
                <w:sz w:val="24"/>
              </w:rPr>
              <w:lastRenderedPageBreak/>
              <w:t>0140</w:t>
            </w:r>
          </w:p>
        </w:tc>
        <w:tc>
          <w:tcPr>
            <w:tcW w:w="7528" w:type="dxa"/>
            <w:shd w:val="clear" w:color="auto" w:fill="auto"/>
          </w:tcPr>
          <w:p w14:paraId="25011DED" w14:textId="77777777" w:rsidR="007453EC" w:rsidRPr="000B6B22" w:rsidRDefault="007453EC">
            <w:pPr>
              <w:spacing w:before="0"/>
              <w:rPr>
                <w:rFonts w:ascii="Times New Roman" w:hAnsi="Times New Roman"/>
                <w:b/>
                <w:bCs/>
                <w:sz w:val="24"/>
              </w:rPr>
            </w:pPr>
            <w:r>
              <w:rPr>
                <w:rFonts w:ascii="Times New Roman" w:hAnsi="Times New Roman"/>
                <w:b/>
                <w:sz w:val="24"/>
              </w:rPr>
              <w:t>Εισροή — Υπόκειται σε ανώτατο όριο 75 % στις εισροές</w:t>
            </w:r>
          </w:p>
          <w:p w14:paraId="36E5D0FC" w14:textId="042DAE98" w:rsidR="007453EC" w:rsidRPr="000B6B22" w:rsidRDefault="007453EC">
            <w:pPr>
              <w:spacing w:before="0"/>
              <w:rPr>
                <w:rFonts w:ascii="Times New Roman" w:hAnsi="Times New Roman"/>
                <w:b/>
                <w:bCs/>
                <w:sz w:val="24"/>
              </w:rPr>
            </w:pPr>
            <w:r>
              <w:rPr>
                <w:rFonts w:ascii="Times New Roman" w:hAnsi="Times New Roman"/>
                <w:sz w:val="24"/>
              </w:rPr>
              <w:t>Άρθρα 32, 33 και 34 του κατ’ εξουσιοδότηση κανονισμού (ΕΕ) 2015/61</w:t>
            </w:r>
          </w:p>
          <w:p w14:paraId="17B0DDC5" w14:textId="4244BA29" w:rsidR="002B1DA1" w:rsidRPr="000B6B22" w:rsidRDefault="002B1DA1">
            <w:pPr>
              <w:spacing w:before="0"/>
              <w:rPr>
                <w:rFonts w:ascii="Times New Roman" w:hAnsi="Times New Roman"/>
                <w:bCs/>
                <w:sz w:val="24"/>
              </w:rPr>
            </w:pPr>
            <w:r>
              <w:rPr>
                <w:rFonts w:ascii="Times New Roman" w:hAnsi="Times New Roman"/>
                <w:sz w:val="24"/>
              </w:rPr>
              <w:t>Για τις γραμμές 0040, 0060-0090, 0120-0130, 0150-0260, 0269, 0273, 0277, 0281, 0285, 0289, 0293, 0301-0303, 0309, 0313, 0317, 0321, 0325, 0329, 0333, 0341-0345, 0450 και 0470-0510 τα πιστωτικά ιδρύματα αναφέρουν στη στήλη 0140 τις συνολικές εισροές που υπόκεινται στο ανώτατο όριο του 75 % για τις εισροές, όπως ορίζεται στο άρθρο 33 παράγραφος 1 του κατ’ εξουσιοδότηση κανονισμού (ΕΕ) 2015/61, οι οποίες υπολογίζονται με πολλαπλασιασμό του συνολικού ποσού/μέγιστου ποσού που μπορεί να αναληφθεί από τη στήλη 0010 επί τον σχετικό συντελεστή στάθμισης από τη στήλη 0080.</w:t>
            </w:r>
          </w:p>
          <w:p w14:paraId="4BA3D379" w14:textId="4C78E013" w:rsidR="007453EC" w:rsidRPr="000B6B22" w:rsidRDefault="002B1DA1">
            <w:pPr>
              <w:spacing w:before="0"/>
              <w:rPr>
                <w:rFonts w:ascii="Times New Roman" w:hAnsi="Times New Roman"/>
                <w:bCs/>
                <w:sz w:val="24"/>
              </w:rPr>
            </w:pPr>
            <w:r>
              <w:rPr>
                <w:rFonts w:ascii="Times New Roman" w:hAnsi="Times New Roman"/>
                <w:sz w:val="24"/>
              </w:rPr>
              <w:t>Για τη γραμμή 0170, τα πιστωτικά ιδρύματα αναφέρουν στη στήλη 0140 τις συνολικές εισροές που υπόκεινται στο ανώτατο όριο του 75 % για τις εισροές, όπως ορίζεται στο άρθρο 33 παράγραφος 1 του κατ’ εξουσιοδότηση κανονισμού (ΕΕ) 2015/61, μόνον εφόσον το πιστωτικό ίδρυμα είναι αποδέκτης αυτής της δέσμευσης με σκοπό να εκταμιεύσει προνομιακό δάνειο σε τελικό δικαιούχο, ή έχει λάβει παρόμοια δέσμευση εκ μέρους πολυμερούς τράπεζας ανάπτυξης ή οντότητας του δημόσιου τομέα.</w:t>
            </w:r>
          </w:p>
        </w:tc>
      </w:tr>
      <w:tr w:rsidR="00B47B7D" w:rsidRPr="000B6B22" w14:paraId="18FF3F23" w14:textId="77777777" w:rsidTr="00CB45E9">
        <w:tc>
          <w:tcPr>
            <w:tcW w:w="994" w:type="dxa"/>
            <w:gridSpan w:val="2"/>
            <w:shd w:val="clear" w:color="auto" w:fill="auto"/>
            <w:vAlign w:val="center"/>
          </w:tcPr>
          <w:p w14:paraId="54C81EBE" w14:textId="0C40C447" w:rsidR="007453EC" w:rsidRPr="000B6B22" w:rsidRDefault="007E14B4">
            <w:pPr>
              <w:spacing w:before="0"/>
              <w:rPr>
                <w:rFonts w:ascii="Times New Roman" w:hAnsi="Times New Roman"/>
                <w:sz w:val="24"/>
              </w:rPr>
            </w:pPr>
            <w:r>
              <w:rPr>
                <w:rFonts w:ascii="Times New Roman" w:hAnsi="Times New Roman"/>
                <w:sz w:val="24"/>
              </w:rPr>
              <w:t>0150</w:t>
            </w:r>
          </w:p>
        </w:tc>
        <w:tc>
          <w:tcPr>
            <w:tcW w:w="7528" w:type="dxa"/>
            <w:shd w:val="clear" w:color="auto" w:fill="auto"/>
          </w:tcPr>
          <w:p w14:paraId="1C5040CF" w14:textId="77777777" w:rsidR="007453EC" w:rsidRPr="000B6B22" w:rsidRDefault="007453EC">
            <w:pPr>
              <w:spacing w:before="0"/>
              <w:rPr>
                <w:rFonts w:ascii="Times New Roman" w:hAnsi="Times New Roman"/>
                <w:b/>
                <w:bCs/>
                <w:sz w:val="24"/>
              </w:rPr>
            </w:pPr>
            <w:r>
              <w:rPr>
                <w:rFonts w:ascii="Times New Roman" w:hAnsi="Times New Roman"/>
                <w:b/>
                <w:sz w:val="24"/>
              </w:rPr>
              <w:t>Εισροή — Υπόκειται σε ανώτατο όριο 90 % στις εισροές</w:t>
            </w:r>
          </w:p>
          <w:p w14:paraId="4DD2FA3F" w14:textId="19BA64AE" w:rsidR="007453EC" w:rsidRPr="000B6B22" w:rsidRDefault="007453EC">
            <w:pPr>
              <w:spacing w:before="0"/>
              <w:rPr>
                <w:rFonts w:ascii="Times New Roman" w:hAnsi="Times New Roman"/>
                <w:b/>
                <w:bCs/>
                <w:sz w:val="24"/>
              </w:rPr>
            </w:pPr>
            <w:r>
              <w:rPr>
                <w:rFonts w:ascii="Times New Roman" w:hAnsi="Times New Roman"/>
                <w:sz w:val="24"/>
              </w:rPr>
              <w:t>Άρθρα 32, 33 και 34 του κατ’ εξουσιοδότηση κανονισμού (ΕΕ) 2015/61</w:t>
            </w:r>
          </w:p>
          <w:p w14:paraId="484EFAFB" w14:textId="74EBACA2" w:rsidR="007453EC" w:rsidRPr="000B6B22" w:rsidRDefault="002B1DA1">
            <w:pPr>
              <w:spacing w:before="0"/>
              <w:rPr>
                <w:rFonts w:ascii="Times New Roman" w:hAnsi="Times New Roman"/>
                <w:b/>
                <w:bCs/>
                <w:sz w:val="24"/>
              </w:rPr>
            </w:pPr>
            <w:r>
              <w:rPr>
                <w:rFonts w:ascii="Times New Roman" w:hAnsi="Times New Roman"/>
                <w:sz w:val="24"/>
              </w:rPr>
              <w:t>Για τις γραμμές 0040, 0060-0090, 0120-0130, 0150-0260, 0269, 0273, 0277, 0281, 0285, 0289, 0293, 0301-0303, 0309, 0313, 0317, 0321, 0325, 0329, 0333, 0341-0345, 0450 και 0470-0510 τα πιστωτικά ιδρύματα αναφέρουν στη στήλη 0150 τις συνολικές εισροές που υπόκεινται στο ανώτατο όριο του 90 % για τις εισροές, όπως ορίζεται στο άρθρο 33 παράγραφοι 4 και 5 του κατ’ εξουσιοδότηση κανονισμού (ΕΕ) 2015/61, οι οποίες υπολογίζονται με πολλαπλασιασμό του συνολικού ποσού/μέγιστου ποσού που μπορεί να αναληφθεί από τη στήλη 0020 επί τον σχετικό συντελεστή στάθμισης από τη στήλη 0090. Για τη γραμμή 0170, τα πιστωτικά ιδρύματα αναφέρουν στη στήλη 0150 τις συνολικές εισροές που υπόκεινται στο ανώτατο όριο του 90 % για τις εισροές, όπως ορίζεται στο άρθρο 33 παράγραφοι 4 και 5 του κατ’ εξουσιοδότηση κανονισμού (ΕΕ) 2015/61, μόνον εφόσον το πιστωτικό ίδρυμα είναι αποδέκτης αυτής της δέσμευσης με σκοπό να εκταμιεύσει προνομιακό δάνειο σε τελικό δικαιούχο, ή έχει λάβει παρόμοια δέσμευση εκ μέρους πολυμερούς τράπεζας ανάπτυξης ή οντότητας του δημόσιου τομέα.</w:t>
            </w:r>
          </w:p>
        </w:tc>
      </w:tr>
      <w:tr w:rsidR="00B47B7D" w:rsidRPr="000B6B22" w14:paraId="06C8BA41" w14:textId="77777777" w:rsidTr="00CB45E9">
        <w:tc>
          <w:tcPr>
            <w:tcW w:w="994" w:type="dxa"/>
            <w:gridSpan w:val="2"/>
            <w:shd w:val="clear" w:color="auto" w:fill="auto"/>
            <w:vAlign w:val="center"/>
          </w:tcPr>
          <w:p w14:paraId="1325CDED" w14:textId="3124C00D" w:rsidR="007453EC" w:rsidRPr="000B6B22" w:rsidRDefault="007E14B4">
            <w:pPr>
              <w:spacing w:before="0"/>
              <w:rPr>
                <w:rFonts w:ascii="Times New Roman" w:hAnsi="Times New Roman"/>
                <w:sz w:val="24"/>
              </w:rPr>
            </w:pPr>
            <w:r>
              <w:rPr>
                <w:rFonts w:ascii="Times New Roman" w:hAnsi="Times New Roman"/>
                <w:sz w:val="24"/>
              </w:rPr>
              <w:t>0160</w:t>
            </w:r>
          </w:p>
        </w:tc>
        <w:tc>
          <w:tcPr>
            <w:tcW w:w="7528" w:type="dxa"/>
            <w:shd w:val="clear" w:color="auto" w:fill="auto"/>
          </w:tcPr>
          <w:p w14:paraId="2C59B705" w14:textId="77777777" w:rsidR="007453EC" w:rsidRPr="000B6B22" w:rsidRDefault="007453EC">
            <w:pPr>
              <w:spacing w:before="0"/>
              <w:rPr>
                <w:rFonts w:ascii="Times New Roman" w:hAnsi="Times New Roman"/>
                <w:b/>
                <w:bCs/>
                <w:sz w:val="24"/>
              </w:rPr>
            </w:pPr>
            <w:r>
              <w:rPr>
                <w:rFonts w:ascii="Times New Roman" w:hAnsi="Times New Roman"/>
                <w:b/>
                <w:sz w:val="24"/>
              </w:rPr>
              <w:t>Εισροή — Εξαιρείται από το ανώτατο όριο στις εισροές</w:t>
            </w:r>
          </w:p>
          <w:p w14:paraId="08CEFDF5" w14:textId="62E623E9" w:rsidR="007453EC" w:rsidRPr="000B6B22" w:rsidRDefault="007453EC">
            <w:pPr>
              <w:spacing w:before="0"/>
              <w:rPr>
                <w:rFonts w:ascii="Times New Roman" w:hAnsi="Times New Roman"/>
                <w:b/>
                <w:bCs/>
                <w:sz w:val="24"/>
              </w:rPr>
            </w:pPr>
            <w:r>
              <w:rPr>
                <w:rFonts w:ascii="Times New Roman" w:hAnsi="Times New Roman"/>
                <w:sz w:val="24"/>
              </w:rPr>
              <w:t>Άρθρα 32, 33 και 34 του κατ’ εξουσιοδότηση κανονισμού (ΕΕ) 2015/61</w:t>
            </w:r>
          </w:p>
          <w:p w14:paraId="3630C9D6" w14:textId="74F37295" w:rsidR="002B1DA1" w:rsidRPr="000B6B22" w:rsidRDefault="002B1DA1">
            <w:pPr>
              <w:spacing w:before="0"/>
              <w:rPr>
                <w:rFonts w:ascii="Times New Roman" w:hAnsi="Times New Roman"/>
                <w:bCs/>
                <w:sz w:val="24"/>
              </w:rPr>
            </w:pPr>
            <w:r>
              <w:rPr>
                <w:rFonts w:ascii="Times New Roman" w:hAnsi="Times New Roman"/>
                <w:sz w:val="24"/>
              </w:rPr>
              <w:t xml:space="preserve">Για τις γραμμές 0040, 0060-0090, 0120-0130, 0150-0260, 0269, 0273, 0277, 0281, 0285, 0289, 0293, 0301-0303, 0309, 0313, 0317, 0321, 0325, 0329, 0333, 0341-0345, 0450 και 0470-0510, τα πιστωτικά ιδρύματα αναφέρουν στη στήλη 0160 τις συνολικές εισροές που εξαιρούνται πλήρως από το ανώτατο όριο για τις εισροές, όπως ορίζεται στο άρθρο 33 </w:t>
            </w:r>
            <w:r>
              <w:rPr>
                <w:rFonts w:ascii="Times New Roman" w:hAnsi="Times New Roman"/>
                <w:sz w:val="24"/>
              </w:rPr>
              <w:lastRenderedPageBreak/>
              <w:t>παράγραφοι 2, 3 και 5 του κατ’ εξουσιοδότηση κανονισμού (ΕΕ) 2015/61, οι οποίες υπολογίζονται με πολλαπλασιασμό του συνολικού ποσού/μέγιστου ποσού που μπορεί να αναληφθεί από τη στήλη 0030 επί τον σχετικό συντελεστή στάθμισης από τη στήλη 0100.</w:t>
            </w:r>
          </w:p>
          <w:p w14:paraId="4ADC76DC" w14:textId="4DA50371" w:rsidR="007453EC" w:rsidRPr="000B6B22" w:rsidRDefault="002B1DA1">
            <w:pPr>
              <w:spacing w:before="0"/>
              <w:rPr>
                <w:rFonts w:ascii="Times New Roman" w:hAnsi="Times New Roman"/>
                <w:b/>
                <w:bCs/>
                <w:sz w:val="24"/>
              </w:rPr>
            </w:pPr>
            <w:r>
              <w:rPr>
                <w:rFonts w:ascii="Times New Roman" w:hAnsi="Times New Roman"/>
                <w:sz w:val="24"/>
              </w:rPr>
              <w:t>Για τη γραμμή 0170, τα πιστωτικά ιδρύματα αναφέρουν στη στήλη 0160 τις συνολικές εισροές που εξαιρούνται πλήρως από το ανώτατο όριο για τις εισροές, όπως ορίζεται στο άρθρο 33 παράγραφοι 2, 3 και 5 του κατ’ εξουσιοδότηση κανονισμού (ΕΕ) 2015/61, μόνον εφόσον το πιστωτικό ίδρυμα είναι αποδέκτης αυτής της δέσμευσης με σκοπό να εκταμιεύσει προνομιακό δάνειο σε τελικό δικαιούχο, ή έχει λάβει παρόμοια δέσμευση εκ μέρους πολυμερούς τράπεζας ανάπτυξης ή οντότητας του δημόσιου τομέα.</w:t>
            </w:r>
          </w:p>
        </w:tc>
      </w:tr>
    </w:tbl>
    <w:p w14:paraId="13286CAD" w14:textId="2092BE00" w:rsidR="007453EC" w:rsidRPr="000B6B22" w:rsidRDefault="007453EC">
      <w:pPr>
        <w:keepNext/>
        <w:spacing w:before="0"/>
        <w:ind w:left="357" w:hanging="357"/>
        <w:outlineLvl w:val="1"/>
        <w:rPr>
          <w:rFonts w:ascii="Times New Roman" w:hAnsi="Times New Roman"/>
          <w:sz w:val="24"/>
        </w:rPr>
      </w:pPr>
      <w:r>
        <w:lastRenderedPageBreak/>
        <w:br w:type="page"/>
      </w:r>
      <w:r>
        <w:rPr>
          <w:rFonts w:ascii="Times New Roman" w:hAnsi="Times New Roman"/>
          <w:sz w:val="24"/>
        </w:rPr>
        <w:lastRenderedPageBreak/>
        <w:t>1.5.2.</w:t>
      </w:r>
      <w:r>
        <w:tab/>
      </w:r>
      <w:r>
        <w:rPr>
          <w:rFonts w:ascii="Times New Roman" w:hAnsi="Times New Roman"/>
          <w:sz w:val="24"/>
        </w:rPr>
        <w:t>Οδηγίες για συγκεκριμένες γραμμές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4"/>
        <w:gridCol w:w="7312"/>
      </w:tblGrid>
      <w:tr w:rsidR="00B47B7D" w:rsidRPr="000B6B22" w14:paraId="17B07770" w14:textId="77777777" w:rsidTr="00454544">
        <w:tc>
          <w:tcPr>
            <w:tcW w:w="756" w:type="dxa"/>
            <w:shd w:val="clear" w:color="auto" w:fill="D9D9D9"/>
          </w:tcPr>
          <w:p w14:paraId="10DDDECD" w14:textId="77777777" w:rsidR="007453EC" w:rsidRPr="000B6B22" w:rsidRDefault="007453EC">
            <w:pPr>
              <w:spacing w:before="0"/>
              <w:rPr>
                <w:rFonts w:ascii="Times New Roman" w:hAnsi="Times New Roman"/>
                <w:sz w:val="24"/>
              </w:rPr>
            </w:pPr>
            <w:r>
              <w:rPr>
                <w:rFonts w:ascii="Times New Roman" w:hAnsi="Times New Roman"/>
                <w:sz w:val="24"/>
              </w:rPr>
              <w:t>Γραμμή</w:t>
            </w:r>
          </w:p>
        </w:tc>
        <w:tc>
          <w:tcPr>
            <w:tcW w:w="7540" w:type="dxa"/>
            <w:shd w:val="clear" w:color="auto" w:fill="D9D9D9"/>
          </w:tcPr>
          <w:p w14:paraId="2AB9098F" w14:textId="77777777" w:rsidR="007453EC" w:rsidRPr="000B6B22" w:rsidRDefault="007453EC">
            <w:pPr>
              <w:spacing w:before="0"/>
              <w:rPr>
                <w:rFonts w:ascii="Times New Roman" w:hAnsi="Times New Roman"/>
                <w:sz w:val="24"/>
              </w:rPr>
            </w:pPr>
            <w:r>
              <w:rPr>
                <w:rFonts w:ascii="Times New Roman" w:hAnsi="Times New Roman"/>
                <w:sz w:val="24"/>
              </w:rPr>
              <w:t>Νομικά κείμενα αναφοράς και οδηγίες</w:t>
            </w:r>
          </w:p>
        </w:tc>
      </w:tr>
      <w:tr w:rsidR="00B47B7D" w:rsidRPr="000B6B22" w14:paraId="1A4CC274" w14:textId="77777777" w:rsidTr="00454544">
        <w:tc>
          <w:tcPr>
            <w:tcW w:w="756" w:type="dxa"/>
            <w:shd w:val="clear" w:color="auto" w:fill="auto"/>
            <w:vAlign w:val="center"/>
          </w:tcPr>
          <w:p w14:paraId="67E2B7E9" w14:textId="48DCE6FE" w:rsidR="007453EC" w:rsidRPr="000B6B22" w:rsidRDefault="00092BE3">
            <w:pPr>
              <w:spacing w:before="0"/>
              <w:rPr>
                <w:rFonts w:ascii="Times New Roman" w:hAnsi="Times New Roman"/>
                <w:bCs/>
                <w:sz w:val="24"/>
              </w:rPr>
            </w:pPr>
            <w:r>
              <w:rPr>
                <w:rFonts w:ascii="Times New Roman" w:hAnsi="Times New Roman"/>
                <w:sz w:val="24"/>
              </w:rPr>
              <w:t>0010</w:t>
            </w:r>
          </w:p>
        </w:tc>
        <w:tc>
          <w:tcPr>
            <w:tcW w:w="7540" w:type="dxa"/>
            <w:shd w:val="clear" w:color="auto" w:fill="auto"/>
          </w:tcPr>
          <w:p w14:paraId="7FB656A2" w14:textId="77777777" w:rsidR="007453EC" w:rsidRPr="000B6B22" w:rsidRDefault="007453EC">
            <w:pPr>
              <w:spacing w:before="0"/>
              <w:rPr>
                <w:rFonts w:ascii="Times New Roman" w:hAnsi="Times New Roman"/>
                <w:b/>
                <w:bCs/>
                <w:sz w:val="24"/>
              </w:rPr>
            </w:pPr>
            <w:r>
              <w:rPr>
                <w:rFonts w:ascii="Times New Roman" w:hAnsi="Times New Roman"/>
                <w:b/>
                <w:sz w:val="24"/>
              </w:rPr>
              <w:t>1. ΣΥΝΟΛΙΚΕΣ ΕΙΣΡΟΕΣ</w:t>
            </w:r>
          </w:p>
          <w:p w14:paraId="112681C3" w14:textId="388FDC9E" w:rsidR="007453EC" w:rsidRPr="000B6B22" w:rsidRDefault="007453EC">
            <w:pPr>
              <w:spacing w:before="0"/>
              <w:rPr>
                <w:rFonts w:ascii="Times New Roman" w:hAnsi="Times New Roman"/>
                <w:bCs/>
                <w:sz w:val="24"/>
              </w:rPr>
            </w:pPr>
            <w:r>
              <w:rPr>
                <w:rFonts w:ascii="Times New Roman" w:hAnsi="Times New Roman"/>
                <w:sz w:val="24"/>
              </w:rPr>
              <w:t>Άρθρα 32, 33 και 34 του κατ’ εξουσιοδότηση κανονισμού (ΕΕ) 2015/61</w:t>
            </w:r>
          </w:p>
          <w:p w14:paraId="0D4CC187" w14:textId="4E81E210" w:rsidR="007453EC" w:rsidRPr="000B6B22" w:rsidRDefault="007453EC">
            <w:pPr>
              <w:spacing w:before="0"/>
              <w:rPr>
                <w:rFonts w:ascii="Times New Roman" w:hAnsi="Times New Roman"/>
                <w:bCs/>
                <w:sz w:val="24"/>
              </w:rPr>
            </w:pPr>
            <w:r>
              <w:rPr>
                <w:rFonts w:ascii="Times New Roman" w:hAnsi="Times New Roman"/>
                <w:sz w:val="24"/>
              </w:rPr>
              <w:t>Τα πιστωτικά ιδρύματα αναφέρουν στη γραμμή 0010 του υποδείγματος C 74.00 του παραρτήματος XXIV</w:t>
            </w:r>
          </w:p>
          <w:p w14:paraId="54A9078C" w14:textId="0F9C53B8" w:rsidR="007453EC" w:rsidRPr="000B6B22" w:rsidRDefault="007453EC">
            <w:pPr>
              <w:spacing w:before="0"/>
              <w:ind w:left="720" w:hanging="360"/>
              <w:rPr>
                <w:rFonts w:ascii="Times New Roman" w:hAnsi="Times New Roman"/>
                <w:bCs/>
                <w:sz w:val="24"/>
              </w:rPr>
            </w:pPr>
            <w:r>
              <w:rPr>
                <w:rFonts w:ascii="Times New Roman" w:hAnsi="Times New Roman"/>
                <w:sz w:val="24"/>
              </w:rPr>
              <w:t></w:t>
            </w:r>
            <w:r>
              <w:tab/>
            </w:r>
            <w:r>
              <w:rPr>
                <w:rFonts w:ascii="Times New Roman" w:hAnsi="Times New Roman"/>
                <w:sz w:val="24"/>
              </w:rPr>
              <w:t>για κάθε μία από τις στήλες 0010, 0020 και 0030 το συνολικό ποσό των στοιχείων ενεργητικού/οφειλόμενων ποσών/του μέγιστου ποσού που μπορεί να αναληφθεί ως το άθροισμα των στοιχείων ενεργητικού/οφειλόμενων ποσών/μέγιστου ποσού που μπορεί να αναληφθεί από μη εξασφαλισμένες συναλλαγές/καταθέσεις και εξασφαλισμένες πιστοδοτήσεις και συναλλαγές με όρους κεφαλαιαγοράς·</w:t>
            </w:r>
          </w:p>
          <w:p w14:paraId="739365D7" w14:textId="7B4468D2" w:rsidR="007453EC" w:rsidRPr="000B6B22" w:rsidRDefault="007453EC">
            <w:pPr>
              <w:spacing w:before="0"/>
              <w:ind w:left="720" w:hanging="360"/>
              <w:rPr>
                <w:rFonts w:ascii="Times New Roman" w:hAnsi="Times New Roman"/>
                <w:bCs/>
                <w:sz w:val="24"/>
              </w:rPr>
            </w:pPr>
            <w:r>
              <w:rPr>
                <w:rFonts w:ascii="Times New Roman" w:hAnsi="Times New Roman"/>
                <w:sz w:val="24"/>
              </w:rPr>
              <w:t></w:t>
            </w:r>
            <w:r>
              <w:tab/>
            </w:r>
            <w:r>
              <w:rPr>
                <w:rFonts w:ascii="Times New Roman" w:hAnsi="Times New Roman"/>
                <w:sz w:val="24"/>
              </w:rPr>
              <w:t>για τη στήλη 0140, τις συνολικές εισροές ως το άθροισμα των εισροών από μη εξασφαλισμένες συναλλαγές/καταθέσεις, εξασφαλισμένες πιστοδοτήσεις και από συναλλαγές με όρους κεφαλαιαγοράς και πράξεις ανταλλαγής εξασφαλίσεων, αφαιρώντας τη διαφορά μεταξύ των συνολικών σταθμισμένων εισροών και των συνολικών σταθμισμένων εκροών που προκύπτουν από συναλλαγές σε τρίτες χώρες όπου υπάρχουν περιορισμοί μεταφοράς ή είναι εκπεφρασμένες σε μη μετατρέψιμα νομίσματα· και</w:t>
            </w:r>
          </w:p>
          <w:p w14:paraId="78B6DD17" w14:textId="0A763C39" w:rsidR="007453EC" w:rsidRPr="000B6B22" w:rsidRDefault="007453EC">
            <w:pPr>
              <w:spacing w:before="0"/>
              <w:ind w:left="720" w:hanging="360"/>
              <w:rPr>
                <w:rFonts w:ascii="Times New Roman" w:hAnsi="Times New Roman"/>
                <w:bCs/>
                <w:sz w:val="24"/>
              </w:rPr>
            </w:pPr>
            <w:r>
              <w:rPr>
                <w:rFonts w:ascii="Times New Roman" w:hAnsi="Times New Roman"/>
                <w:sz w:val="24"/>
              </w:rPr>
              <w:t></w:t>
            </w:r>
            <w:r>
              <w:tab/>
            </w:r>
            <w:r>
              <w:rPr>
                <w:rFonts w:ascii="Times New Roman" w:hAnsi="Times New Roman"/>
                <w:sz w:val="24"/>
              </w:rPr>
              <w:t>για τις στήλες 0150 και 0160, τις συνολικές εισροές ως το άθροισμα των εισροών από μη εξασφαλισμένες συναλλαγές/καταθέσεις, εξασφαλισμένες πιστοδοτήσεις και από συναλλαγές με όρους κεφαλαιαγοράς και πράξεις ανταλλαγής εξασφαλίσεων, αφαιρώντας τη διαφορά μεταξύ των συνολικών σταθμισμένων εισροών και των συνολικών σταθμισμένων εκροών που προκύπτουν από συναλλαγές σε τρίτες χώρες, όπου υπάρχουν περιορισμοί μεταφοράς ή είναι εκπεφρασμένες σε μη μετατρέψιμα νομίσματα και αφαιρώντας το υπερβάλλον ποσό των εισροών από συνδεόμενο ειδικευμένο πιστωτικό ίδρυμα σύμφωνα με το άρθρο 2 παράγραφος 3 στοιχείο ε) και το άρθρο 33 παράγραφος 6 του κατ’ εξουσιοδότηση κανονισμού (ΕΕ) 2015/61.</w:t>
            </w:r>
          </w:p>
        </w:tc>
      </w:tr>
      <w:tr w:rsidR="00B47B7D" w:rsidRPr="000B6B22" w14:paraId="569FE66B" w14:textId="77777777" w:rsidTr="00454544">
        <w:tc>
          <w:tcPr>
            <w:tcW w:w="756" w:type="dxa"/>
            <w:shd w:val="clear" w:color="auto" w:fill="auto"/>
            <w:vAlign w:val="center"/>
          </w:tcPr>
          <w:p w14:paraId="0DCCA2CD" w14:textId="40194193" w:rsidR="007453EC" w:rsidRPr="000B6B22" w:rsidRDefault="00092BE3" w:rsidP="009D4EFF">
            <w:pPr>
              <w:spacing w:before="0"/>
              <w:rPr>
                <w:rFonts w:ascii="Times New Roman" w:hAnsi="Times New Roman"/>
                <w:sz w:val="24"/>
              </w:rPr>
            </w:pPr>
            <w:r>
              <w:rPr>
                <w:rFonts w:ascii="Times New Roman" w:hAnsi="Times New Roman"/>
                <w:sz w:val="24"/>
              </w:rPr>
              <w:t>0020</w:t>
            </w:r>
          </w:p>
        </w:tc>
        <w:tc>
          <w:tcPr>
            <w:tcW w:w="7540" w:type="dxa"/>
            <w:shd w:val="clear" w:color="auto" w:fill="auto"/>
          </w:tcPr>
          <w:p w14:paraId="7E8E50F6" w14:textId="77777777" w:rsidR="007453EC" w:rsidRPr="000B6B22" w:rsidRDefault="007453EC">
            <w:pPr>
              <w:spacing w:before="0"/>
              <w:rPr>
                <w:rFonts w:ascii="Times New Roman" w:hAnsi="Times New Roman"/>
                <w:b/>
                <w:bCs/>
                <w:sz w:val="24"/>
              </w:rPr>
            </w:pPr>
            <w:r>
              <w:rPr>
                <w:rFonts w:ascii="Times New Roman" w:hAnsi="Times New Roman"/>
                <w:b/>
                <w:sz w:val="24"/>
              </w:rPr>
              <w:t>1.1. Εισροές από μη εξασφαλισμένες συναλλαγές/καταθέσεις</w:t>
            </w:r>
          </w:p>
          <w:p w14:paraId="34C4D9F0" w14:textId="5C401A15" w:rsidR="007453EC" w:rsidRPr="000B6B22" w:rsidRDefault="007453EC">
            <w:pPr>
              <w:spacing w:before="0"/>
              <w:rPr>
                <w:rFonts w:ascii="Times New Roman" w:hAnsi="Times New Roman"/>
                <w:bCs/>
                <w:sz w:val="24"/>
              </w:rPr>
            </w:pPr>
            <w:r>
              <w:rPr>
                <w:rFonts w:ascii="Times New Roman" w:hAnsi="Times New Roman"/>
                <w:sz w:val="24"/>
              </w:rPr>
              <w:t>Άρθρα 32, 33 και 34 του κατ’ εξουσιοδότηση κανονισμού (ΕΕ) 2015/61</w:t>
            </w:r>
          </w:p>
          <w:p w14:paraId="7EE9ADAA" w14:textId="67CA5BBF" w:rsidR="007453EC" w:rsidRPr="000B6B22" w:rsidRDefault="007453EC">
            <w:pPr>
              <w:spacing w:before="0"/>
              <w:rPr>
                <w:rFonts w:ascii="Times New Roman" w:hAnsi="Times New Roman"/>
                <w:bCs/>
                <w:sz w:val="24"/>
              </w:rPr>
            </w:pPr>
            <w:r>
              <w:rPr>
                <w:rFonts w:ascii="Times New Roman" w:hAnsi="Times New Roman"/>
                <w:sz w:val="24"/>
              </w:rPr>
              <w:t>Τα πιστωτικά ιδρύματα αναφέρουν στη γραμμή 0020 του υποδείγματος C 74.00 του παραρτήματος XXIV</w:t>
            </w:r>
          </w:p>
          <w:p w14:paraId="65B85F06" w14:textId="74F11AF7" w:rsidR="007453EC" w:rsidRPr="000B6B22" w:rsidRDefault="007453EC">
            <w:pPr>
              <w:spacing w:before="0"/>
              <w:ind w:left="720" w:hanging="360"/>
              <w:rPr>
                <w:rFonts w:ascii="Times New Roman" w:hAnsi="Times New Roman"/>
                <w:bCs/>
                <w:sz w:val="24"/>
              </w:rPr>
            </w:pPr>
            <w:r>
              <w:rPr>
                <w:rFonts w:ascii="Times New Roman" w:hAnsi="Times New Roman"/>
                <w:sz w:val="24"/>
              </w:rPr>
              <w:t></w:t>
            </w:r>
            <w:r>
              <w:tab/>
            </w:r>
            <w:r>
              <w:rPr>
                <w:rFonts w:ascii="Times New Roman" w:hAnsi="Times New Roman"/>
                <w:sz w:val="24"/>
              </w:rPr>
              <w:t>για κάθε μία από τις στήλες 0010, 0020 και 0030 το συνολικό ποσό των στοιχείων του ενεργητικού/τα οφειλόμενα ποσά/το μέγιστο ποσό που μπορεί να αναληφθεί από μη εξασφαλισμένες συναλλαγές/καταθέσεις· και</w:t>
            </w:r>
          </w:p>
          <w:p w14:paraId="6D224437" w14:textId="60A461C7" w:rsidR="007453EC" w:rsidRPr="000B6B22" w:rsidRDefault="007453EC">
            <w:pPr>
              <w:spacing w:before="0"/>
              <w:ind w:left="720" w:hanging="360"/>
              <w:rPr>
                <w:rFonts w:ascii="Times New Roman" w:hAnsi="Times New Roman"/>
                <w:bCs/>
                <w:sz w:val="24"/>
              </w:rPr>
            </w:pPr>
            <w:r>
              <w:rPr>
                <w:rFonts w:ascii="Times New Roman" w:hAnsi="Times New Roman"/>
                <w:sz w:val="24"/>
              </w:rPr>
              <w:t></w:t>
            </w:r>
            <w:r>
              <w:tab/>
            </w:r>
            <w:r>
              <w:rPr>
                <w:rFonts w:ascii="Times New Roman" w:hAnsi="Times New Roman"/>
                <w:sz w:val="24"/>
              </w:rPr>
              <w:t>για κάθε μία από τις στήλες 0140, 0150 και 0160 τις συνολικές εισροές από μη εξασφαλισμένες συναλλαγές/καταθέσεις.</w:t>
            </w:r>
          </w:p>
        </w:tc>
      </w:tr>
      <w:tr w:rsidR="00B47B7D" w:rsidRPr="000B6B22" w14:paraId="3C6FEB40" w14:textId="77777777" w:rsidTr="00454544">
        <w:tc>
          <w:tcPr>
            <w:tcW w:w="756" w:type="dxa"/>
            <w:shd w:val="clear" w:color="auto" w:fill="auto"/>
            <w:vAlign w:val="center"/>
          </w:tcPr>
          <w:p w14:paraId="4F577B33" w14:textId="55A4B340" w:rsidR="007453EC" w:rsidRPr="000B6B22" w:rsidRDefault="00092BE3" w:rsidP="009D4EFF">
            <w:pPr>
              <w:spacing w:before="0"/>
              <w:rPr>
                <w:rFonts w:ascii="Times New Roman" w:hAnsi="Times New Roman"/>
                <w:sz w:val="24"/>
              </w:rPr>
            </w:pPr>
            <w:r>
              <w:rPr>
                <w:rFonts w:ascii="Times New Roman" w:hAnsi="Times New Roman"/>
                <w:sz w:val="24"/>
              </w:rPr>
              <w:lastRenderedPageBreak/>
              <w:t>0030</w:t>
            </w:r>
          </w:p>
        </w:tc>
        <w:tc>
          <w:tcPr>
            <w:tcW w:w="7540" w:type="dxa"/>
            <w:shd w:val="clear" w:color="auto" w:fill="auto"/>
          </w:tcPr>
          <w:p w14:paraId="6A1E35AE" w14:textId="77777777" w:rsidR="007453EC" w:rsidRPr="000B6B22" w:rsidRDefault="007453EC">
            <w:pPr>
              <w:spacing w:before="0"/>
              <w:rPr>
                <w:rFonts w:ascii="Times New Roman" w:hAnsi="Times New Roman"/>
                <w:b/>
                <w:bCs/>
                <w:sz w:val="24"/>
              </w:rPr>
            </w:pPr>
            <w:r>
              <w:rPr>
                <w:rFonts w:ascii="Times New Roman" w:hAnsi="Times New Roman"/>
                <w:b/>
                <w:sz w:val="24"/>
              </w:rPr>
              <w:t>1.1.1. οφειλόμενα ποσά από μη χρηματοπιστωτικούς πελάτες (εξαιρουμένων των κεντρικών τραπεζών)</w:t>
            </w:r>
          </w:p>
          <w:p w14:paraId="23FE5278" w14:textId="48664A09" w:rsidR="007453EC" w:rsidRPr="000B6B22" w:rsidRDefault="00DD4C72">
            <w:pPr>
              <w:spacing w:before="0"/>
              <w:rPr>
                <w:rFonts w:ascii="Times New Roman" w:hAnsi="Times New Roman"/>
                <w:bCs/>
                <w:sz w:val="24"/>
              </w:rPr>
            </w:pPr>
            <w:r>
              <w:rPr>
                <w:rFonts w:ascii="Times New Roman" w:hAnsi="Times New Roman"/>
                <w:sz w:val="24"/>
              </w:rPr>
              <w:t>Άρθρο 32 παράγραφος 3 στοιχείο α) του κατ’ εξουσιοδότηση κανονισμού (ΕΕ) 2015/61</w:t>
            </w:r>
          </w:p>
          <w:p w14:paraId="6EAE7B8A" w14:textId="592EA9B8" w:rsidR="007453EC" w:rsidRPr="000B6B22" w:rsidRDefault="007453EC">
            <w:pPr>
              <w:spacing w:before="0"/>
              <w:rPr>
                <w:rFonts w:ascii="Times New Roman" w:hAnsi="Times New Roman"/>
                <w:bCs/>
                <w:sz w:val="24"/>
              </w:rPr>
            </w:pPr>
            <w:r>
              <w:rPr>
                <w:rFonts w:ascii="Times New Roman" w:hAnsi="Times New Roman"/>
                <w:sz w:val="24"/>
              </w:rPr>
              <w:t>Τα πιστωτικά ιδρύματα αναφέρουν στη γραμμή 0030 του υποδείγματος C 74.00 του παραρτήματος XXIV</w:t>
            </w:r>
          </w:p>
          <w:p w14:paraId="36C654F2" w14:textId="1D47E670" w:rsidR="007453EC" w:rsidRPr="000B6B22" w:rsidRDefault="007453EC">
            <w:pPr>
              <w:spacing w:before="0"/>
              <w:ind w:left="720" w:hanging="360"/>
              <w:rPr>
                <w:rFonts w:ascii="Times New Roman" w:hAnsi="Times New Roman"/>
                <w:bCs/>
                <w:sz w:val="24"/>
              </w:rPr>
            </w:pPr>
            <w:r>
              <w:rPr>
                <w:rFonts w:ascii="Times New Roman" w:hAnsi="Times New Roman"/>
                <w:sz w:val="24"/>
              </w:rPr>
              <w:t></w:t>
            </w:r>
            <w:r>
              <w:tab/>
            </w:r>
            <w:r>
              <w:rPr>
                <w:rFonts w:ascii="Times New Roman" w:hAnsi="Times New Roman"/>
                <w:sz w:val="24"/>
              </w:rPr>
              <w:t>για κάθε μία από τις στήλες 0010, 0020 και 0030 το συνολικό ποσό των οφειλόμενων ποσών από μη χρηματοπιστωτικούς πελάτες (εξαιρουμένων των κεντρικών τραπεζών) (οφειλόμενα ποσά από μη χρηματοπιστωτικούς πελάτες που δεν αντιστοιχούν σε αποπληρωμές κεφαλαίου, καθώς και τυχόν άλλα οφειλόμενα ποσά από μη χρηματοπιστωτικούς πελάτες) και</w:t>
            </w:r>
          </w:p>
          <w:p w14:paraId="71B58C79" w14:textId="6A6013AD" w:rsidR="007453EC" w:rsidRPr="000B6B22" w:rsidRDefault="007453EC">
            <w:pPr>
              <w:spacing w:before="0"/>
              <w:ind w:left="720" w:hanging="360"/>
              <w:rPr>
                <w:rFonts w:ascii="Times New Roman" w:hAnsi="Times New Roman"/>
                <w:bCs/>
                <w:sz w:val="24"/>
              </w:rPr>
            </w:pPr>
            <w:r>
              <w:rPr>
                <w:rFonts w:ascii="Times New Roman" w:hAnsi="Times New Roman"/>
                <w:sz w:val="24"/>
              </w:rPr>
              <w:t></w:t>
            </w:r>
            <w:r>
              <w:tab/>
            </w:r>
            <w:r>
              <w:rPr>
                <w:rFonts w:ascii="Times New Roman" w:hAnsi="Times New Roman"/>
                <w:sz w:val="24"/>
              </w:rPr>
              <w:t>για κάθε μία από τις στήλες 0140, 0150 και 0160 τις συνολικές εισροές από μη χρηματοπιστωτικούς πελάτες (εξαιρουμένων των κεντρικών τραπεζών) (εισροές από μη χρηματοπιστωτικούς πελάτες που δεν αντιστοιχούν σε αποπληρωμές κεφαλαίου, καθώς και τυχόν άλλες εισροές από μη χρηματοπιστωτικούς πελάτες).</w:t>
            </w:r>
          </w:p>
          <w:p w14:paraId="5CDADF83" w14:textId="1B6D7F7D" w:rsidR="007453EC" w:rsidRPr="000B6B22" w:rsidRDefault="007453EC">
            <w:pPr>
              <w:spacing w:before="0"/>
              <w:rPr>
                <w:rFonts w:ascii="Times New Roman" w:hAnsi="Times New Roman"/>
                <w:bCs/>
                <w:sz w:val="24"/>
              </w:rPr>
            </w:pPr>
            <w:r>
              <w:rPr>
                <w:rFonts w:ascii="Times New Roman" w:hAnsi="Times New Roman"/>
                <w:sz w:val="24"/>
              </w:rPr>
              <w:t>Στους μη χρηματοπιστωτικούς πελάτες περιλαμβάνονται, μεταξύ άλλων, φυσικά πρόσωπα, ΜΜΕ, εταιρείες, κράτη, πολυμερείς τράπεζες ανάπτυξης και οντότητες του δημόσιου τομέα σύμφωνα με το άρθρο 31α του κατ’ εξουσιοδότηση κανονισμού (ΕΕ) 2015/61.</w:t>
            </w:r>
          </w:p>
          <w:p w14:paraId="53BD919C" w14:textId="0DE53934" w:rsidR="007453EC" w:rsidRPr="000B6B22" w:rsidRDefault="007453EC">
            <w:pPr>
              <w:spacing w:before="0"/>
              <w:rPr>
                <w:rFonts w:ascii="Times New Roman" w:hAnsi="Times New Roman"/>
                <w:bCs/>
                <w:sz w:val="24"/>
              </w:rPr>
            </w:pPr>
            <w:r>
              <w:rPr>
                <w:rFonts w:ascii="Times New Roman" w:hAnsi="Times New Roman"/>
                <w:sz w:val="24"/>
              </w:rPr>
              <w:t>Τα οφειλόμενα ποσά από εξασφαλισμένες πιστοδοτήσεις και συναλλαγές με όρους κεφαλαιαγοράς με πελάτη που δεν είναι χρηματοπιστωτικός πελάτης, οι οποίες είναι εξασφαλισμένες με ρευστά στοιχεία ενεργητικού σύμφωνα με τον τίτλο ΙΙ του κατ’ εξουσιοδότηση κανονισμού (ΕΕ) 2015/61, εφόσον οι συναλλαγές αυτές προσδιορίζονται στο άρθρο 192 σημεία 2) και 3) του κανονισμού (ΕΕ) αριθ. 575/2013, αναφέρονται στο τμήμα 1.2. και δεν αναφέρονται στο τμήμα 1.1.1. Τα οφειλόμενα ποσά από συναλλαγές αυτού του είδους, οι οποίες είναι εξασφαλισμένες με κινητές αξίες που δεν είναι αποδεκτές ως ρευστά στοιχεία ενεργητικού σύμφωνα με τον τίτλο ΙΙ του κατ’ εξουσιοδότηση κανονισμού (ΕΕ) 2015/61 αναφέρονται στο τμήμα 1.2. και δεν αναφέρονται στο τμήμα 1.1.1. Τα οφειλόμενα ποσά από συναλλαγές αυτού του είδους με μη χρηματοπιστωτικούς πελάτες, οι οποίες είναι εξασφαλισμένες με μη μεταβιβάσιμα στοιχεία ενεργητικού που δεν είναι αποδεκτά ως ρευστά στοιχεία ενεργητικού σύμφωνα με τον τίτλο ΙΙ του κατ’ εξουσιοδότηση κανονισμού (ΕΕ) 2015/61 αναφέρονται στη σχετική γραμμή του τμήματος 1.1.1.</w:t>
            </w:r>
          </w:p>
          <w:p w14:paraId="2A87F287" w14:textId="77777777" w:rsidR="007453EC" w:rsidRPr="000B6B22" w:rsidRDefault="007453EC">
            <w:pPr>
              <w:spacing w:before="0"/>
              <w:rPr>
                <w:rFonts w:ascii="Times New Roman" w:hAnsi="Times New Roman"/>
                <w:bCs/>
                <w:sz w:val="24"/>
              </w:rPr>
            </w:pPr>
            <w:r>
              <w:rPr>
                <w:rFonts w:ascii="Times New Roman" w:hAnsi="Times New Roman"/>
                <w:sz w:val="24"/>
              </w:rPr>
              <w:t>Τα οφειλόμενα ποσά από κεντρικές τράπεζες αναφέρονται στο τμήμα 1.1.2. και δεν αναφέρονται εδώ. Τα οφειλόμενα ποσά από συναλλαγές χρηματοδότησης του εμπορίου με εναπομένουσα ληκτότητα που δεν υπερβαίνει τις 30 ημέρες αναφέρονται στο τμήμα 1.1.4. και δεν αναφέρονται εδώ. Τα οφειλόμενα ποσά από τίτλους που λήγουν εντός 30 ημερολογιακών ημερών αναφέρονται στο τμήμα 1.1.5. και δεν αναφέρονται εδώ.</w:t>
            </w:r>
          </w:p>
        </w:tc>
      </w:tr>
      <w:tr w:rsidR="00B47B7D" w:rsidRPr="000B6B22" w14:paraId="1E07E3DA" w14:textId="77777777" w:rsidTr="00454544">
        <w:tc>
          <w:tcPr>
            <w:tcW w:w="756" w:type="dxa"/>
            <w:shd w:val="clear" w:color="auto" w:fill="auto"/>
            <w:vAlign w:val="center"/>
          </w:tcPr>
          <w:p w14:paraId="2CA0D7A9" w14:textId="4E34ABAF" w:rsidR="007453EC" w:rsidRPr="000B6B22" w:rsidRDefault="00092BE3" w:rsidP="009D4EFF">
            <w:pPr>
              <w:spacing w:before="0"/>
              <w:rPr>
                <w:rFonts w:ascii="Times New Roman" w:hAnsi="Times New Roman"/>
                <w:sz w:val="24"/>
              </w:rPr>
            </w:pPr>
            <w:r>
              <w:rPr>
                <w:rFonts w:ascii="Times New Roman" w:hAnsi="Times New Roman"/>
                <w:sz w:val="24"/>
              </w:rPr>
              <w:lastRenderedPageBreak/>
              <w:t>0040</w:t>
            </w:r>
          </w:p>
        </w:tc>
        <w:tc>
          <w:tcPr>
            <w:tcW w:w="7540" w:type="dxa"/>
            <w:shd w:val="clear" w:color="auto" w:fill="auto"/>
          </w:tcPr>
          <w:p w14:paraId="317E26F7" w14:textId="77777777" w:rsidR="007453EC" w:rsidRPr="000B6B22" w:rsidRDefault="007453EC">
            <w:pPr>
              <w:spacing w:before="0"/>
              <w:rPr>
                <w:rFonts w:ascii="Times New Roman" w:hAnsi="Times New Roman"/>
                <w:b/>
                <w:bCs/>
                <w:sz w:val="24"/>
              </w:rPr>
            </w:pPr>
            <w:r>
              <w:rPr>
                <w:rFonts w:ascii="Times New Roman" w:hAnsi="Times New Roman"/>
                <w:b/>
                <w:sz w:val="24"/>
              </w:rPr>
              <w:t>1.1.1.1. οφειλόμενα ποσά από μη χρηματοπιστωτικούς πελάτες (εξαιρουμένων των κεντρικών τραπεζών) που δεν αντιστοιχούν σε αποπληρωμή κεφαλαίου</w:t>
            </w:r>
          </w:p>
          <w:p w14:paraId="4FA9B0E4" w14:textId="3EF5C0AE" w:rsidR="007453EC" w:rsidRPr="000B6B22" w:rsidRDefault="00DD4C72">
            <w:pPr>
              <w:spacing w:before="0"/>
              <w:rPr>
                <w:rFonts w:ascii="Times New Roman" w:hAnsi="Times New Roman"/>
                <w:bCs/>
                <w:sz w:val="24"/>
              </w:rPr>
            </w:pPr>
            <w:r>
              <w:rPr>
                <w:rFonts w:ascii="Times New Roman" w:hAnsi="Times New Roman"/>
                <w:sz w:val="24"/>
              </w:rPr>
              <w:t>Άρθρο 32 παράγραφος 3 στοιχείο α) του κατ’ εξουσιοδότηση κανονισμού (ΕΕ) 2015/61</w:t>
            </w:r>
          </w:p>
          <w:p w14:paraId="172C6ABF" w14:textId="02DFCE82" w:rsidR="007453EC" w:rsidRPr="000B6B22" w:rsidRDefault="007453EC">
            <w:pPr>
              <w:spacing w:before="0"/>
              <w:rPr>
                <w:rFonts w:ascii="Times New Roman" w:hAnsi="Times New Roman"/>
                <w:b/>
                <w:bCs/>
                <w:sz w:val="24"/>
              </w:rPr>
            </w:pPr>
            <w:r>
              <w:rPr>
                <w:rFonts w:ascii="Times New Roman" w:hAnsi="Times New Roman"/>
                <w:sz w:val="24"/>
              </w:rPr>
              <w:t>Οφειλόμενα ποσά από μη χρηματοπιστωτικούς πελάτες (εξαιρουμένων των κεντρικών τραπεζών) με εναπομένουσα ληκτότητα που δεν υπερβαίνει τις 30 ημέρες, τα οποία δεν αντιστοιχούν σε αποπληρωμή κεφαλαίου. Οι εν λόγω εισροές περιλαμβάνουν τόκους και οφειλόμενες προμήθειες από μη χρηματοπιστωτικούς πελάτες (εξαιρουμένων των κεντρικών τραπεζών). Οφειλόμενα ποσά από κεντρικές τράπεζες που δεν αντιστοιχούν σε αποπληρωμή κεφαλαίου αναφέρονται στο τμήμα 1.1.2. και δεν αναφέρονται εδώ.</w:t>
            </w:r>
          </w:p>
        </w:tc>
      </w:tr>
      <w:tr w:rsidR="00B47B7D" w:rsidRPr="000B6B22" w14:paraId="63A32C9D" w14:textId="77777777" w:rsidTr="00454544">
        <w:tc>
          <w:tcPr>
            <w:tcW w:w="756" w:type="dxa"/>
            <w:shd w:val="clear" w:color="auto" w:fill="auto"/>
            <w:vAlign w:val="center"/>
          </w:tcPr>
          <w:p w14:paraId="2FBCDA18" w14:textId="2D845DF1" w:rsidR="007453EC" w:rsidRPr="000B6B22" w:rsidRDefault="00092BE3" w:rsidP="009D4EFF">
            <w:pPr>
              <w:spacing w:before="0"/>
              <w:rPr>
                <w:rFonts w:ascii="Times New Roman" w:hAnsi="Times New Roman"/>
                <w:sz w:val="24"/>
              </w:rPr>
            </w:pPr>
            <w:r>
              <w:rPr>
                <w:rFonts w:ascii="Times New Roman" w:hAnsi="Times New Roman"/>
                <w:sz w:val="24"/>
              </w:rPr>
              <w:t>0050</w:t>
            </w:r>
          </w:p>
        </w:tc>
        <w:tc>
          <w:tcPr>
            <w:tcW w:w="7540" w:type="dxa"/>
            <w:shd w:val="clear" w:color="auto" w:fill="auto"/>
          </w:tcPr>
          <w:p w14:paraId="7B079186" w14:textId="77777777" w:rsidR="007453EC" w:rsidRPr="000B6B22" w:rsidRDefault="007453EC">
            <w:pPr>
              <w:spacing w:before="0"/>
              <w:rPr>
                <w:rFonts w:ascii="Times New Roman" w:hAnsi="Times New Roman"/>
                <w:b/>
                <w:bCs/>
                <w:sz w:val="24"/>
              </w:rPr>
            </w:pPr>
            <w:r>
              <w:rPr>
                <w:rFonts w:ascii="Times New Roman" w:hAnsi="Times New Roman"/>
                <w:b/>
                <w:sz w:val="24"/>
              </w:rPr>
              <w:t>1.1.1.2. άλλα οφειλόμενα ποσά από μη χρηματοπιστωτικούς πελάτες (εξαιρουμένων των κεντρικών τραπεζών)</w:t>
            </w:r>
          </w:p>
          <w:p w14:paraId="6C66B478" w14:textId="5EEEE80E" w:rsidR="007453EC" w:rsidRPr="000B6B22" w:rsidRDefault="00DD4C72">
            <w:pPr>
              <w:spacing w:before="0"/>
              <w:rPr>
                <w:rFonts w:ascii="Times New Roman" w:hAnsi="Times New Roman"/>
                <w:bCs/>
                <w:sz w:val="24"/>
              </w:rPr>
            </w:pPr>
            <w:r>
              <w:rPr>
                <w:rFonts w:ascii="Times New Roman" w:hAnsi="Times New Roman"/>
                <w:sz w:val="24"/>
              </w:rPr>
              <w:t>Άρθρο 32 παράγραφος 3 στοιχείο α) του κατ’ εξουσιοδότηση κανονισμού (ΕΕ) 2015/61</w:t>
            </w:r>
          </w:p>
          <w:p w14:paraId="3B2643EC" w14:textId="6E31D0EE" w:rsidR="007453EC" w:rsidRPr="000B6B22" w:rsidRDefault="007453EC">
            <w:pPr>
              <w:spacing w:before="0"/>
              <w:rPr>
                <w:rFonts w:ascii="Times New Roman" w:hAnsi="Times New Roman"/>
                <w:bCs/>
                <w:sz w:val="24"/>
              </w:rPr>
            </w:pPr>
            <w:r>
              <w:rPr>
                <w:rFonts w:ascii="Times New Roman" w:hAnsi="Times New Roman"/>
                <w:sz w:val="24"/>
              </w:rPr>
              <w:t>Τα πιστωτικά ιδρύματα αναφέρουν στη γραμμή 0050 του υποδείγματος C 74.00 του παραρτήματος XXIV</w:t>
            </w:r>
          </w:p>
          <w:p w14:paraId="460896F7" w14:textId="5F0211F7" w:rsidR="007453EC" w:rsidRPr="000B6B22" w:rsidRDefault="007453EC">
            <w:pPr>
              <w:spacing w:before="0"/>
              <w:ind w:left="720" w:hanging="360"/>
              <w:rPr>
                <w:rFonts w:ascii="Times New Roman" w:hAnsi="Times New Roman"/>
                <w:bCs/>
                <w:sz w:val="24"/>
              </w:rPr>
            </w:pPr>
            <w:r>
              <w:rPr>
                <w:rFonts w:ascii="Times New Roman" w:hAnsi="Times New Roman"/>
                <w:sz w:val="24"/>
              </w:rPr>
              <w:t></w:t>
            </w:r>
            <w:r>
              <w:tab/>
            </w:r>
            <w:r>
              <w:rPr>
                <w:rFonts w:ascii="Times New Roman" w:hAnsi="Times New Roman"/>
                <w:sz w:val="24"/>
              </w:rPr>
              <w:t>για κάθε μία από τις στήλες 0010, 0020 και 0030, το συνολικό ποσό των άλλων οφειλόμενων ποσών από μη χρηματοπιστωτικούς πελάτες (εξαιρουμένων των κεντρικών τραπεζών) ως το άθροισμα των ποσών που οφείλουν πελάτες που δεν είναι χρηματοπιστωτικοί πελάτες ανά αντισυμβαλλόμενο και</w:t>
            </w:r>
          </w:p>
          <w:p w14:paraId="52946097" w14:textId="6D78082C" w:rsidR="007453EC" w:rsidRPr="000B6B22" w:rsidRDefault="007453EC">
            <w:pPr>
              <w:spacing w:before="0"/>
              <w:ind w:left="720" w:hanging="360"/>
              <w:rPr>
                <w:rFonts w:ascii="Times New Roman" w:hAnsi="Times New Roman"/>
                <w:bCs/>
                <w:sz w:val="24"/>
              </w:rPr>
            </w:pPr>
            <w:r>
              <w:rPr>
                <w:rFonts w:ascii="Times New Roman" w:hAnsi="Times New Roman"/>
                <w:sz w:val="24"/>
              </w:rPr>
              <w:t></w:t>
            </w:r>
            <w:r>
              <w:tab/>
            </w:r>
            <w:r>
              <w:rPr>
                <w:rFonts w:ascii="Times New Roman" w:hAnsi="Times New Roman"/>
                <w:sz w:val="24"/>
              </w:rPr>
              <w:t>για κάθε μία από τις στήλες 0140, 0150 και 0160, το συνολικό ποσό άλλων εισροών από μη χρηματοπιστωτικούς πελάτες (εξαιρουμένων των κεντρικών τραπεζών) ως το άθροισμα άλλων εισροών από μη χρηματοπιστωτικούς πελάτες ανά αντισυμβαλλόμενο.</w:t>
            </w:r>
          </w:p>
          <w:p w14:paraId="214A590C" w14:textId="77777777" w:rsidR="007453EC" w:rsidRPr="000B6B22" w:rsidRDefault="007453EC">
            <w:pPr>
              <w:spacing w:before="0"/>
              <w:rPr>
                <w:rFonts w:ascii="Times New Roman" w:hAnsi="Times New Roman"/>
                <w:bCs/>
                <w:sz w:val="24"/>
              </w:rPr>
            </w:pPr>
            <w:r>
              <w:rPr>
                <w:rFonts w:ascii="Times New Roman" w:hAnsi="Times New Roman"/>
                <w:sz w:val="24"/>
              </w:rPr>
              <w:t>Ποσά οφειλόμενα από μη χρηματοπιστωτικούς πελάτες (εξαιρουμένων των κεντρικών τραπεζών) που δεν αντιστοιχούν σε αποπληρωμή κεφαλαίου αναφέρονται στο τμήμα 1.1.1.1 και δεν αναφέρονται εδώ.</w:t>
            </w:r>
          </w:p>
          <w:p w14:paraId="3C46F32E" w14:textId="77777777" w:rsidR="007453EC" w:rsidRPr="000B6B22" w:rsidRDefault="007453EC">
            <w:pPr>
              <w:spacing w:before="0"/>
              <w:rPr>
                <w:rFonts w:ascii="Times New Roman" w:hAnsi="Times New Roman"/>
                <w:bCs/>
                <w:sz w:val="24"/>
              </w:rPr>
            </w:pPr>
            <w:r>
              <w:rPr>
                <w:rFonts w:ascii="Times New Roman" w:hAnsi="Times New Roman"/>
                <w:sz w:val="24"/>
              </w:rPr>
              <w:t>Άλλα οφειλόμενα ποσά από κεντρικές τράπεζες αναφέρονται στο τμήμα 1.1.2 και δεν αναφέρονται εδώ.</w:t>
            </w:r>
          </w:p>
          <w:p w14:paraId="08EC130A" w14:textId="0E49451E" w:rsidR="007453EC" w:rsidRPr="000B6B22" w:rsidRDefault="007453EC">
            <w:pPr>
              <w:spacing w:before="0"/>
              <w:rPr>
                <w:rFonts w:ascii="Times New Roman" w:hAnsi="Times New Roman"/>
                <w:bCs/>
                <w:sz w:val="24"/>
              </w:rPr>
            </w:pPr>
            <w:r>
              <w:rPr>
                <w:rFonts w:ascii="Times New Roman" w:hAnsi="Times New Roman"/>
                <w:sz w:val="24"/>
              </w:rPr>
              <w:t>Εισροές που αντιστοιχούν σε εκροές σύμφωνα με δεσμεύσεις χρηματοδότησης προνομιακών δανείων που αναφέρονται στο άρθρο 31 παράγραφος 9 του κατ’ εξουσιοδότηση κανονισμού (ΕΕ) 2015/61 αναφέρονται στο τμήμα 1.1.3. και δεν αναφέρονται εδώ.</w:t>
            </w:r>
          </w:p>
        </w:tc>
      </w:tr>
      <w:tr w:rsidR="00B47B7D" w:rsidRPr="000B6B22" w14:paraId="183A3ED2" w14:textId="77777777" w:rsidTr="00454544">
        <w:tc>
          <w:tcPr>
            <w:tcW w:w="756" w:type="dxa"/>
            <w:shd w:val="clear" w:color="auto" w:fill="auto"/>
            <w:vAlign w:val="center"/>
          </w:tcPr>
          <w:p w14:paraId="05F375E7" w14:textId="44650204" w:rsidR="007453EC" w:rsidRPr="000B6B22" w:rsidRDefault="00092BE3" w:rsidP="009D4EFF">
            <w:pPr>
              <w:spacing w:before="0"/>
              <w:rPr>
                <w:rFonts w:ascii="Times New Roman" w:hAnsi="Times New Roman"/>
                <w:sz w:val="24"/>
              </w:rPr>
            </w:pPr>
            <w:r>
              <w:rPr>
                <w:rFonts w:ascii="Times New Roman" w:hAnsi="Times New Roman"/>
                <w:sz w:val="24"/>
              </w:rPr>
              <w:t>0060</w:t>
            </w:r>
          </w:p>
        </w:tc>
        <w:tc>
          <w:tcPr>
            <w:tcW w:w="7540" w:type="dxa"/>
            <w:shd w:val="clear" w:color="auto" w:fill="auto"/>
          </w:tcPr>
          <w:p w14:paraId="67FEE3DA" w14:textId="77777777" w:rsidR="007453EC" w:rsidRPr="000B6B22" w:rsidRDefault="007453EC">
            <w:pPr>
              <w:spacing w:before="0"/>
              <w:rPr>
                <w:rFonts w:ascii="Times New Roman" w:hAnsi="Times New Roman"/>
                <w:b/>
                <w:bCs/>
                <w:sz w:val="24"/>
              </w:rPr>
            </w:pPr>
            <w:r>
              <w:rPr>
                <w:rFonts w:ascii="Times New Roman" w:hAnsi="Times New Roman"/>
                <w:b/>
                <w:sz w:val="24"/>
              </w:rPr>
              <w:t>1.1.1.2.1. οφειλόμενα ποσά από πελάτες λιανικής</w:t>
            </w:r>
          </w:p>
          <w:p w14:paraId="3878003B" w14:textId="418625CE" w:rsidR="007453EC" w:rsidRPr="000B6B22" w:rsidRDefault="00DD4C72">
            <w:pPr>
              <w:spacing w:before="0"/>
              <w:rPr>
                <w:rFonts w:ascii="Times New Roman" w:hAnsi="Times New Roman"/>
                <w:bCs/>
                <w:sz w:val="24"/>
              </w:rPr>
            </w:pPr>
            <w:r>
              <w:rPr>
                <w:rFonts w:ascii="Times New Roman" w:hAnsi="Times New Roman"/>
                <w:sz w:val="24"/>
              </w:rPr>
              <w:t>Άρθρο 32 παράγραφος 3 στοιχείο α) του κατ’ εξουσιοδότηση κανονισμού (ΕΕ) 2015/61</w:t>
            </w:r>
          </w:p>
          <w:p w14:paraId="6EADAFB2" w14:textId="443BAE12" w:rsidR="007453EC" w:rsidRPr="000B6B22" w:rsidRDefault="007453EC">
            <w:pPr>
              <w:spacing w:before="0"/>
              <w:rPr>
                <w:rFonts w:ascii="Times New Roman" w:hAnsi="Times New Roman"/>
                <w:b/>
                <w:bCs/>
                <w:sz w:val="24"/>
              </w:rPr>
            </w:pPr>
            <w:r>
              <w:rPr>
                <w:rFonts w:ascii="Times New Roman" w:hAnsi="Times New Roman"/>
                <w:sz w:val="24"/>
              </w:rPr>
              <w:t>Οφειλόμενα ποσά από πελάτες λιανικής με εναπομένουσα ληκτότητα που δεν υπερβαίνει τις 30 ημέρες.</w:t>
            </w:r>
          </w:p>
        </w:tc>
      </w:tr>
      <w:tr w:rsidR="00B47B7D" w:rsidRPr="000B6B22" w14:paraId="6A1D4C34" w14:textId="77777777" w:rsidTr="00454544">
        <w:tc>
          <w:tcPr>
            <w:tcW w:w="756" w:type="dxa"/>
            <w:shd w:val="clear" w:color="auto" w:fill="auto"/>
            <w:vAlign w:val="center"/>
          </w:tcPr>
          <w:p w14:paraId="0D88BB36" w14:textId="5F4BD183" w:rsidR="007453EC" w:rsidRPr="000B6B22" w:rsidRDefault="00092BE3" w:rsidP="009D4EFF">
            <w:pPr>
              <w:spacing w:before="0"/>
              <w:rPr>
                <w:rFonts w:ascii="Times New Roman" w:hAnsi="Times New Roman"/>
                <w:sz w:val="24"/>
              </w:rPr>
            </w:pPr>
            <w:r>
              <w:rPr>
                <w:rFonts w:ascii="Times New Roman" w:hAnsi="Times New Roman"/>
                <w:sz w:val="24"/>
              </w:rPr>
              <w:lastRenderedPageBreak/>
              <w:t>0070</w:t>
            </w:r>
          </w:p>
        </w:tc>
        <w:tc>
          <w:tcPr>
            <w:tcW w:w="7540" w:type="dxa"/>
            <w:shd w:val="clear" w:color="auto" w:fill="auto"/>
          </w:tcPr>
          <w:p w14:paraId="5182AD94" w14:textId="77777777" w:rsidR="007453EC" w:rsidRPr="000B6B22" w:rsidRDefault="007453EC">
            <w:pPr>
              <w:spacing w:before="0"/>
              <w:rPr>
                <w:rFonts w:ascii="Times New Roman" w:hAnsi="Times New Roman"/>
                <w:b/>
                <w:bCs/>
                <w:sz w:val="24"/>
              </w:rPr>
            </w:pPr>
            <w:r>
              <w:rPr>
                <w:rFonts w:ascii="Times New Roman" w:hAnsi="Times New Roman"/>
                <w:b/>
                <w:sz w:val="24"/>
              </w:rPr>
              <w:t>1.1.1.2.2. οφειλόμενα ποσά από μη χρηματοπιστωτικούς εταιρικούς πελάτες</w:t>
            </w:r>
          </w:p>
          <w:p w14:paraId="1D49F1FE" w14:textId="6D016E65" w:rsidR="007453EC" w:rsidRPr="000B6B22" w:rsidRDefault="00DD4C72">
            <w:pPr>
              <w:spacing w:before="0"/>
              <w:rPr>
                <w:rFonts w:ascii="Times New Roman" w:hAnsi="Times New Roman"/>
                <w:bCs/>
                <w:sz w:val="24"/>
              </w:rPr>
            </w:pPr>
            <w:r>
              <w:rPr>
                <w:rFonts w:ascii="Times New Roman" w:hAnsi="Times New Roman"/>
                <w:sz w:val="24"/>
              </w:rPr>
              <w:t>Άρθρο 32 παράγραφος 3 στοιχείο α) του κατ’ εξουσιοδότηση κανονισμού (ΕΕ) 2015/61</w:t>
            </w:r>
          </w:p>
          <w:p w14:paraId="38D54DFA" w14:textId="4091AF0C" w:rsidR="007453EC" w:rsidRPr="000B6B22" w:rsidRDefault="007453EC">
            <w:pPr>
              <w:spacing w:before="0"/>
              <w:rPr>
                <w:rFonts w:ascii="Times New Roman" w:hAnsi="Times New Roman"/>
                <w:b/>
                <w:bCs/>
                <w:sz w:val="24"/>
              </w:rPr>
            </w:pPr>
            <w:r>
              <w:rPr>
                <w:rFonts w:ascii="Times New Roman" w:hAnsi="Times New Roman"/>
                <w:sz w:val="24"/>
              </w:rPr>
              <w:t>Οφειλόμενα ποσά από μη χρηματοπιστωτικές επιχειρήσεις με εναπομένουσα ληκτότητα που δεν υπερβαίνει τις 30 ημέρες.</w:t>
            </w:r>
          </w:p>
        </w:tc>
      </w:tr>
      <w:tr w:rsidR="00B47B7D" w:rsidRPr="000B6B22" w14:paraId="35BD6178" w14:textId="77777777" w:rsidTr="00454544">
        <w:tc>
          <w:tcPr>
            <w:tcW w:w="756" w:type="dxa"/>
            <w:shd w:val="clear" w:color="auto" w:fill="auto"/>
            <w:vAlign w:val="center"/>
          </w:tcPr>
          <w:p w14:paraId="010165AC" w14:textId="5BD1B332" w:rsidR="007453EC" w:rsidRPr="000B6B22" w:rsidRDefault="00092BE3" w:rsidP="009D4EFF">
            <w:pPr>
              <w:spacing w:before="0"/>
              <w:rPr>
                <w:rFonts w:ascii="Times New Roman" w:hAnsi="Times New Roman"/>
                <w:sz w:val="24"/>
              </w:rPr>
            </w:pPr>
            <w:r>
              <w:rPr>
                <w:rFonts w:ascii="Times New Roman" w:hAnsi="Times New Roman"/>
                <w:sz w:val="24"/>
              </w:rPr>
              <w:t>0080</w:t>
            </w:r>
          </w:p>
        </w:tc>
        <w:tc>
          <w:tcPr>
            <w:tcW w:w="7540" w:type="dxa"/>
            <w:shd w:val="clear" w:color="auto" w:fill="auto"/>
          </w:tcPr>
          <w:p w14:paraId="2DA637D9" w14:textId="77777777" w:rsidR="007453EC" w:rsidRPr="000B6B22" w:rsidRDefault="007453EC">
            <w:pPr>
              <w:spacing w:before="0"/>
              <w:rPr>
                <w:rFonts w:ascii="Times New Roman" w:hAnsi="Times New Roman"/>
                <w:b/>
                <w:bCs/>
                <w:sz w:val="24"/>
              </w:rPr>
            </w:pPr>
            <w:r>
              <w:rPr>
                <w:rFonts w:ascii="Times New Roman" w:hAnsi="Times New Roman"/>
                <w:b/>
                <w:sz w:val="24"/>
              </w:rPr>
              <w:t>1.1.1.2.3. οφειλόμενα ποσά από κράτη, πολυμερείς τράπεζες ανάπτυξης και οντότητες του δημόσιου τομέα</w:t>
            </w:r>
          </w:p>
          <w:p w14:paraId="5CB95ACB" w14:textId="548FDFFB" w:rsidR="007453EC" w:rsidRPr="000B6B22" w:rsidRDefault="00DD4C72">
            <w:pPr>
              <w:spacing w:before="0"/>
              <w:rPr>
                <w:rFonts w:ascii="Times New Roman" w:hAnsi="Times New Roman"/>
                <w:bCs/>
                <w:sz w:val="24"/>
              </w:rPr>
            </w:pPr>
            <w:r>
              <w:rPr>
                <w:rFonts w:ascii="Times New Roman" w:hAnsi="Times New Roman"/>
                <w:sz w:val="24"/>
              </w:rPr>
              <w:t>Άρθρο 32 παράγραφος 3 στοιχείο α) του κατ’ εξουσιοδότηση κανονισμού (ΕΕ) 2015/61</w:t>
            </w:r>
          </w:p>
          <w:p w14:paraId="4DDD16B8" w14:textId="2FF53647" w:rsidR="007453EC" w:rsidRPr="000B6B22" w:rsidRDefault="007453EC">
            <w:pPr>
              <w:spacing w:before="0"/>
              <w:rPr>
                <w:rFonts w:ascii="Times New Roman" w:hAnsi="Times New Roman"/>
                <w:b/>
                <w:bCs/>
                <w:sz w:val="24"/>
              </w:rPr>
            </w:pPr>
            <w:r>
              <w:rPr>
                <w:rFonts w:ascii="Times New Roman" w:hAnsi="Times New Roman"/>
                <w:sz w:val="24"/>
              </w:rPr>
              <w:t>Οφειλόμενα ποσά από κράτη, πολυμερείς τράπεζες ανάπτυξης και οντότητες του δημόσιου τομέα με εναπομένουσα ληκτότητα που δεν υπερβαίνει τις 30 ημέρες.</w:t>
            </w:r>
          </w:p>
        </w:tc>
      </w:tr>
      <w:tr w:rsidR="00B47B7D" w:rsidRPr="000B6B22" w14:paraId="60E01786" w14:textId="77777777" w:rsidTr="00454544">
        <w:tc>
          <w:tcPr>
            <w:tcW w:w="756" w:type="dxa"/>
            <w:shd w:val="clear" w:color="auto" w:fill="auto"/>
            <w:vAlign w:val="center"/>
          </w:tcPr>
          <w:p w14:paraId="3D50FD27" w14:textId="630C70EA" w:rsidR="007453EC" w:rsidRPr="000B6B22" w:rsidRDefault="00092BE3" w:rsidP="009D4EFF">
            <w:pPr>
              <w:spacing w:before="0"/>
              <w:rPr>
                <w:rFonts w:ascii="Times New Roman" w:hAnsi="Times New Roman"/>
                <w:sz w:val="24"/>
              </w:rPr>
            </w:pPr>
            <w:r>
              <w:rPr>
                <w:rFonts w:ascii="Times New Roman" w:hAnsi="Times New Roman"/>
                <w:sz w:val="24"/>
              </w:rPr>
              <w:t>0090</w:t>
            </w:r>
          </w:p>
        </w:tc>
        <w:tc>
          <w:tcPr>
            <w:tcW w:w="7540" w:type="dxa"/>
            <w:shd w:val="clear" w:color="auto" w:fill="auto"/>
          </w:tcPr>
          <w:p w14:paraId="670CA2B9" w14:textId="77777777" w:rsidR="007453EC" w:rsidRPr="000B6B22" w:rsidRDefault="007453EC">
            <w:pPr>
              <w:spacing w:before="0"/>
              <w:rPr>
                <w:rFonts w:ascii="Times New Roman" w:hAnsi="Times New Roman"/>
                <w:b/>
                <w:bCs/>
                <w:sz w:val="24"/>
              </w:rPr>
            </w:pPr>
            <w:r>
              <w:rPr>
                <w:rFonts w:ascii="Times New Roman" w:hAnsi="Times New Roman"/>
                <w:b/>
                <w:sz w:val="24"/>
              </w:rPr>
              <w:t>1.1.1.2.4. οφειλόμενα ποσά από άλλες νομικές οντότητες</w:t>
            </w:r>
          </w:p>
          <w:p w14:paraId="6ACB8013" w14:textId="769D95BF" w:rsidR="007453EC" w:rsidRPr="000B6B22" w:rsidRDefault="00DD4C72">
            <w:pPr>
              <w:spacing w:before="0"/>
              <w:rPr>
                <w:rFonts w:ascii="Times New Roman" w:hAnsi="Times New Roman"/>
                <w:bCs/>
                <w:sz w:val="24"/>
              </w:rPr>
            </w:pPr>
            <w:r>
              <w:rPr>
                <w:rFonts w:ascii="Times New Roman" w:hAnsi="Times New Roman"/>
                <w:sz w:val="24"/>
              </w:rPr>
              <w:t>Άρθρο 32 παράγραφος 3 στοιχείο α) του κατ’ εξουσιοδότηση κανονισμού (ΕΕ) 2015/61</w:t>
            </w:r>
          </w:p>
          <w:p w14:paraId="1BFD562F" w14:textId="6D30103E" w:rsidR="007453EC" w:rsidRPr="000B6B22" w:rsidRDefault="007453EC">
            <w:pPr>
              <w:spacing w:before="0"/>
              <w:rPr>
                <w:rFonts w:ascii="Times New Roman" w:hAnsi="Times New Roman"/>
                <w:b/>
                <w:bCs/>
                <w:sz w:val="24"/>
              </w:rPr>
            </w:pPr>
            <w:r>
              <w:rPr>
                <w:rFonts w:ascii="Times New Roman" w:hAnsi="Times New Roman"/>
                <w:sz w:val="24"/>
              </w:rPr>
              <w:t>Οφειλόμενα ποσά από άλλες νομικές οντότητες που δεν περιλαμβάνονται σε άλλο σημείο ανωτέρω με εναπομένουσα ληκτότητα που δεν υπερβαίνει τις 30 ημέρες.</w:t>
            </w:r>
          </w:p>
        </w:tc>
      </w:tr>
      <w:tr w:rsidR="00B47B7D" w:rsidRPr="000B6B22" w14:paraId="234A7E3A" w14:textId="77777777" w:rsidTr="00454544">
        <w:tc>
          <w:tcPr>
            <w:tcW w:w="756" w:type="dxa"/>
            <w:shd w:val="clear" w:color="auto" w:fill="auto"/>
            <w:vAlign w:val="center"/>
          </w:tcPr>
          <w:p w14:paraId="0FF35057" w14:textId="51958B8B" w:rsidR="007453EC" w:rsidRPr="000B6B22" w:rsidRDefault="00092BE3" w:rsidP="009D4EFF">
            <w:pPr>
              <w:spacing w:before="0"/>
              <w:rPr>
                <w:rFonts w:ascii="Times New Roman" w:hAnsi="Times New Roman"/>
                <w:sz w:val="24"/>
              </w:rPr>
            </w:pPr>
            <w:r>
              <w:rPr>
                <w:rFonts w:ascii="Times New Roman" w:hAnsi="Times New Roman"/>
                <w:sz w:val="24"/>
              </w:rPr>
              <w:t>0100</w:t>
            </w:r>
          </w:p>
        </w:tc>
        <w:tc>
          <w:tcPr>
            <w:tcW w:w="7540" w:type="dxa"/>
            <w:shd w:val="clear" w:color="auto" w:fill="auto"/>
            <w:vAlign w:val="center"/>
          </w:tcPr>
          <w:p w14:paraId="045DD939" w14:textId="77777777" w:rsidR="007453EC" w:rsidRPr="000B6B22" w:rsidRDefault="007453EC">
            <w:pPr>
              <w:spacing w:before="0"/>
              <w:rPr>
                <w:rFonts w:ascii="Times New Roman" w:hAnsi="Times New Roman"/>
                <w:b/>
                <w:bCs/>
                <w:sz w:val="24"/>
              </w:rPr>
            </w:pPr>
            <w:r>
              <w:rPr>
                <w:rFonts w:ascii="Times New Roman" w:hAnsi="Times New Roman"/>
                <w:b/>
                <w:sz w:val="24"/>
              </w:rPr>
              <w:t>1.1.2. οφειλόμενα ποσά από κεντρικές τράπεζες και χρηματοπιστωτικούς πελάτες</w:t>
            </w:r>
          </w:p>
          <w:p w14:paraId="1F631B5A" w14:textId="3755D185" w:rsidR="007453EC" w:rsidRPr="000B6B22" w:rsidRDefault="000378A5">
            <w:pPr>
              <w:spacing w:before="0"/>
              <w:rPr>
                <w:rFonts w:ascii="Times New Roman" w:hAnsi="Times New Roman"/>
                <w:bCs/>
                <w:sz w:val="24"/>
              </w:rPr>
            </w:pPr>
            <w:r>
              <w:rPr>
                <w:rFonts w:ascii="Times New Roman" w:hAnsi="Times New Roman"/>
                <w:sz w:val="24"/>
              </w:rPr>
              <w:t>Άρθρο 32 παράγραφος 2 στοιχείο α) και άρθρο 32 παράγραφος 3 στοιχείο δ) σε συνδυασμό με το άρθρο 27 του κατ’ εξουσιοδότηση κανονισμού (ΕΕ) 2015/61</w:t>
            </w:r>
          </w:p>
          <w:p w14:paraId="4ED465DC" w14:textId="0829398B" w:rsidR="007453EC" w:rsidRPr="000B6B22" w:rsidRDefault="007453EC">
            <w:pPr>
              <w:spacing w:before="0"/>
              <w:rPr>
                <w:rFonts w:ascii="Times New Roman" w:hAnsi="Times New Roman"/>
                <w:bCs/>
                <w:sz w:val="24"/>
              </w:rPr>
            </w:pPr>
            <w:r>
              <w:rPr>
                <w:rFonts w:ascii="Times New Roman" w:hAnsi="Times New Roman"/>
                <w:sz w:val="24"/>
              </w:rPr>
              <w:t>Τα πιστωτικά ιδρύματα αναφέρουν στη γραμμή 0100 του υποδείγματος C 74.00 του παραρτήματος XXIV</w:t>
            </w:r>
          </w:p>
          <w:p w14:paraId="4554799F" w14:textId="30DE6FDB" w:rsidR="007453EC" w:rsidRPr="000B6B22" w:rsidRDefault="007453EC">
            <w:pPr>
              <w:spacing w:before="0"/>
              <w:ind w:left="720" w:hanging="360"/>
              <w:rPr>
                <w:rFonts w:ascii="Times New Roman" w:hAnsi="Times New Roman"/>
                <w:bCs/>
                <w:sz w:val="24"/>
              </w:rPr>
            </w:pPr>
            <w:r>
              <w:rPr>
                <w:rFonts w:ascii="Times New Roman" w:hAnsi="Times New Roman"/>
                <w:sz w:val="24"/>
              </w:rPr>
              <w:t></w:t>
            </w:r>
            <w:r>
              <w:tab/>
            </w:r>
            <w:r>
              <w:rPr>
                <w:rFonts w:ascii="Times New Roman" w:hAnsi="Times New Roman"/>
                <w:sz w:val="24"/>
              </w:rPr>
              <w:t>για κάθε μία από τις στήλες 0010, 0020 και 0030, το συνολικό ποσό των οφειλόμενων ποσών από κεντρικές τράπεζες και χρηματοπιστωτικούς πελάτες (λειτουργικές και μη λειτουργικές καταθέσεις)· και</w:t>
            </w:r>
          </w:p>
          <w:p w14:paraId="54CA944A" w14:textId="6075DF60" w:rsidR="007453EC" w:rsidRPr="000B6B22" w:rsidRDefault="007453EC">
            <w:pPr>
              <w:spacing w:before="0"/>
              <w:ind w:left="720" w:hanging="360"/>
              <w:rPr>
                <w:rFonts w:ascii="Times New Roman" w:hAnsi="Times New Roman"/>
                <w:bCs/>
                <w:sz w:val="24"/>
              </w:rPr>
            </w:pPr>
            <w:r>
              <w:rPr>
                <w:rFonts w:ascii="Times New Roman" w:hAnsi="Times New Roman"/>
                <w:sz w:val="24"/>
              </w:rPr>
              <w:t></w:t>
            </w:r>
            <w:r>
              <w:tab/>
            </w:r>
            <w:r>
              <w:rPr>
                <w:rFonts w:ascii="Times New Roman" w:hAnsi="Times New Roman"/>
                <w:sz w:val="24"/>
              </w:rPr>
              <w:t>για κάθε μία από τις στήλες 0140, 0150 και 0160, το συνολικό ποσό των εισροών από κεντρικές τράπεζες και χρηματοπιστωτικούς πελάτες (λειτουργικές και μη λειτουργικές καταθέσεις).</w:t>
            </w:r>
          </w:p>
          <w:p w14:paraId="7AA7B851" w14:textId="67EBFB2E" w:rsidR="007453EC" w:rsidRPr="000B6B22" w:rsidRDefault="007453EC">
            <w:pPr>
              <w:spacing w:before="0"/>
              <w:rPr>
                <w:rFonts w:ascii="Times New Roman" w:hAnsi="Times New Roman"/>
                <w:bCs/>
                <w:sz w:val="24"/>
              </w:rPr>
            </w:pPr>
            <w:r>
              <w:rPr>
                <w:rFonts w:ascii="Times New Roman" w:hAnsi="Times New Roman"/>
                <w:sz w:val="24"/>
              </w:rPr>
              <w:t>Τα χρηματοπιστωτικά ιδρύματα αναφέρουν εδώ τα οφειλόμενα ποσά με εναπομένουσα ληκτότητα που δεν υπερβαίνει τις 30 ημέρες από κεντρικές τράπεζες και χρηματοπιστωτικούς πελάτες, τα οποία δεν είναι σε υπερημερία και για τα οποία η τράπεζα δεν έχει λόγους να αναμένει μη εκτέλεση εντός του χρονικού ορίζοντα των 30 ημερών.</w:t>
            </w:r>
          </w:p>
          <w:p w14:paraId="0F56E8AD" w14:textId="77777777" w:rsidR="007453EC" w:rsidRPr="000B6B22" w:rsidRDefault="007453EC">
            <w:pPr>
              <w:spacing w:before="0"/>
              <w:rPr>
                <w:rFonts w:ascii="Times New Roman" w:hAnsi="Times New Roman"/>
                <w:bCs/>
                <w:sz w:val="24"/>
              </w:rPr>
            </w:pPr>
            <w:r>
              <w:rPr>
                <w:rFonts w:ascii="Times New Roman" w:hAnsi="Times New Roman"/>
                <w:sz w:val="24"/>
              </w:rPr>
              <w:t>Τα οφειλόμενα ποσά από κεντρικές τράπεζες και χρηματοπιστωτικούς πελάτες που δεν αντιστοιχούν σε αποπληρωμή κεφαλαίου αναφέρονται στο αντίστοιχο τμήμα.</w:t>
            </w:r>
          </w:p>
          <w:p w14:paraId="1428E208" w14:textId="7253B30E" w:rsidR="007453EC" w:rsidRPr="000B6B22" w:rsidRDefault="007453EC">
            <w:pPr>
              <w:spacing w:before="0"/>
              <w:rPr>
                <w:rFonts w:ascii="Times New Roman" w:hAnsi="Times New Roman"/>
                <w:bCs/>
                <w:sz w:val="24"/>
              </w:rPr>
            </w:pPr>
            <w:r>
              <w:rPr>
                <w:rFonts w:ascii="Times New Roman" w:hAnsi="Times New Roman"/>
                <w:sz w:val="24"/>
              </w:rPr>
              <w:lastRenderedPageBreak/>
              <w:t>Καταθέσεις στο κεντρικό ίδρυμα που αναφέρονται στο άρθρο 27 παράγραφος 3 του κατ’ εξουσιοδότηση κανονισμού (ΕΕ) 2015/61 δεν αναφέρονται ως εισροές.</w:t>
            </w:r>
          </w:p>
          <w:p w14:paraId="7F7414AF" w14:textId="77777777" w:rsidR="007453EC" w:rsidRPr="000B6B22" w:rsidRDefault="007453EC">
            <w:pPr>
              <w:spacing w:before="0"/>
              <w:rPr>
                <w:rFonts w:ascii="Times New Roman" w:hAnsi="Times New Roman"/>
                <w:bCs/>
                <w:sz w:val="24"/>
              </w:rPr>
            </w:pPr>
            <w:r>
              <w:rPr>
                <w:rFonts w:ascii="Times New Roman" w:hAnsi="Times New Roman"/>
                <w:sz w:val="24"/>
              </w:rPr>
              <w:t>Τα οφειλόμενα ποσά από συναλλαγές χρηματοδότησης του εμπορίου με εναπομένουσα ληκτότητα που δεν υπερβαίνει τις 30 ημέρες αναφέρονται στο τμήμα 1.1.4. και δεν αναφέρονται εδώ. Τα οφειλόμενα ποσά από τίτλους που λήγουν εντός 30 ημερολογιακών ημερών αναφέρονται στο τμήμα 1.1.5. και δεν αναφέρονται εδώ.</w:t>
            </w:r>
          </w:p>
        </w:tc>
      </w:tr>
      <w:tr w:rsidR="00B47B7D" w:rsidRPr="000B6B22" w14:paraId="1F7C977F" w14:textId="77777777" w:rsidTr="00454544">
        <w:tc>
          <w:tcPr>
            <w:tcW w:w="756" w:type="dxa"/>
            <w:shd w:val="clear" w:color="auto" w:fill="auto"/>
            <w:vAlign w:val="center"/>
          </w:tcPr>
          <w:p w14:paraId="7BD94C43" w14:textId="622CA9EC" w:rsidR="007453EC" w:rsidRPr="000B6B22" w:rsidRDefault="00092BE3" w:rsidP="009D4EFF">
            <w:pPr>
              <w:spacing w:before="0"/>
              <w:rPr>
                <w:rFonts w:ascii="Times New Roman" w:hAnsi="Times New Roman"/>
                <w:sz w:val="24"/>
              </w:rPr>
            </w:pPr>
            <w:r>
              <w:rPr>
                <w:rFonts w:ascii="Times New Roman" w:hAnsi="Times New Roman"/>
                <w:sz w:val="24"/>
              </w:rPr>
              <w:lastRenderedPageBreak/>
              <w:t>0110</w:t>
            </w:r>
          </w:p>
        </w:tc>
        <w:tc>
          <w:tcPr>
            <w:tcW w:w="7540" w:type="dxa"/>
            <w:shd w:val="clear" w:color="auto" w:fill="auto"/>
            <w:vAlign w:val="center"/>
          </w:tcPr>
          <w:p w14:paraId="5A4F9455" w14:textId="77777777" w:rsidR="007453EC" w:rsidRPr="000B6B22" w:rsidRDefault="007453EC">
            <w:pPr>
              <w:spacing w:before="0"/>
              <w:rPr>
                <w:rFonts w:ascii="Times New Roman" w:hAnsi="Times New Roman"/>
                <w:b/>
                <w:bCs/>
                <w:sz w:val="24"/>
              </w:rPr>
            </w:pPr>
            <w:r>
              <w:rPr>
                <w:rFonts w:ascii="Times New Roman" w:hAnsi="Times New Roman"/>
                <w:b/>
                <w:sz w:val="24"/>
              </w:rPr>
              <w:t>1.1.2.1. οφειλόμενα ποσά από χρηματοπιστωτικούς πελάτες που χαρακτηρίζονται ως λειτουργικές καταθέσεις</w:t>
            </w:r>
          </w:p>
          <w:p w14:paraId="39FA7398" w14:textId="4770BC57" w:rsidR="007453EC" w:rsidRPr="000B6B22" w:rsidRDefault="000378A5">
            <w:pPr>
              <w:spacing w:before="0"/>
              <w:rPr>
                <w:rFonts w:ascii="Times New Roman" w:hAnsi="Times New Roman"/>
                <w:bCs/>
                <w:sz w:val="24"/>
              </w:rPr>
            </w:pPr>
            <w:r>
              <w:rPr>
                <w:rFonts w:ascii="Times New Roman" w:hAnsi="Times New Roman"/>
                <w:sz w:val="24"/>
              </w:rPr>
              <w:t>Άρθρο 32 παράγραφος 3 στοιχείο δ) σε συνδυασμό με το άρθρο 27 του κατ’ εξουσιοδότηση κανονισμού (ΕΕ) 2015/61</w:t>
            </w:r>
          </w:p>
          <w:p w14:paraId="7AF8F30A" w14:textId="30913F5F" w:rsidR="007453EC" w:rsidRPr="000B6B22" w:rsidRDefault="007453EC">
            <w:pPr>
              <w:spacing w:before="0"/>
              <w:rPr>
                <w:rFonts w:ascii="Times New Roman" w:hAnsi="Times New Roman"/>
                <w:bCs/>
                <w:sz w:val="24"/>
              </w:rPr>
            </w:pPr>
            <w:r>
              <w:rPr>
                <w:rFonts w:ascii="Times New Roman" w:hAnsi="Times New Roman"/>
                <w:sz w:val="24"/>
              </w:rPr>
              <w:t>Τα πιστωτικά ιδρύματα αναφέρουν στη γραμμή 0110 του υποδείγματος C 74.00 του παραρτήματος XXIV</w:t>
            </w:r>
          </w:p>
          <w:p w14:paraId="3B90C483" w14:textId="25075645" w:rsidR="007453EC" w:rsidRPr="000B6B22" w:rsidRDefault="007453EC">
            <w:pPr>
              <w:spacing w:before="0"/>
              <w:ind w:left="720" w:hanging="360"/>
              <w:rPr>
                <w:rFonts w:ascii="Times New Roman" w:hAnsi="Times New Roman"/>
                <w:bCs/>
                <w:sz w:val="24"/>
              </w:rPr>
            </w:pPr>
            <w:r>
              <w:rPr>
                <w:rFonts w:ascii="Times New Roman" w:hAnsi="Times New Roman"/>
                <w:sz w:val="24"/>
              </w:rPr>
              <w:t></w:t>
            </w:r>
            <w:r>
              <w:tab/>
            </w:r>
            <w:r>
              <w:rPr>
                <w:rFonts w:ascii="Times New Roman" w:hAnsi="Times New Roman"/>
                <w:sz w:val="24"/>
              </w:rPr>
              <w:t>για κάθε μία από τις στήλες 0010, 0020 και 0030, το συνολικό ποσό των οφειλόμενων ποσών από χρηματοπιστωτικούς πελάτες που χαρακτηρίζονται ως λειτουργικές καταθέσεις (ανεξαρτήτως του αν το πιστωτικό ίδρυμα είναι σε θέση να προσδιορίσει αντίστοιχο συμμετρικό ποσοστό εισροής ή όχι)· και</w:t>
            </w:r>
          </w:p>
          <w:p w14:paraId="3BCFB56C" w14:textId="25855A3A" w:rsidR="007453EC" w:rsidRPr="000B6B22" w:rsidRDefault="007453EC">
            <w:pPr>
              <w:spacing w:before="0"/>
              <w:ind w:left="720" w:hanging="360"/>
              <w:rPr>
                <w:rFonts w:ascii="Times New Roman" w:hAnsi="Times New Roman"/>
                <w:bCs/>
                <w:sz w:val="24"/>
              </w:rPr>
            </w:pPr>
            <w:r>
              <w:rPr>
                <w:rFonts w:ascii="Times New Roman" w:hAnsi="Times New Roman"/>
                <w:sz w:val="24"/>
              </w:rPr>
              <w:t></w:t>
            </w:r>
            <w:r>
              <w:tab/>
            </w:r>
            <w:r>
              <w:rPr>
                <w:rFonts w:ascii="Times New Roman" w:hAnsi="Times New Roman"/>
                <w:sz w:val="24"/>
              </w:rPr>
              <w:t>για κάθε μία από τις στήλες 0140, 0150 και 0160, τις συνολικές εισροές από χρηματοπιστωτικούς πελάτες που χαρακτηρίζονται ως λειτουργικές καταθέσεις (ανεξαρτήτως του αν το πιστωτικό ίδρυμα είναι σε θέση να προσδιορίσει αντίστοιχο συμμετρικό ποσοστό εισροής ή όχι).</w:t>
            </w:r>
          </w:p>
          <w:p w14:paraId="2A6FD64A" w14:textId="4AF63FB4" w:rsidR="007453EC" w:rsidRPr="000B6B22" w:rsidRDefault="007453EC">
            <w:pPr>
              <w:spacing w:before="0"/>
              <w:rPr>
                <w:rFonts w:ascii="Times New Roman" w:hAnsi="Times New Roman"/>
                <w:bCs/>
                <w:sz w:val="24"/>
              </w:rPr>
            </w:pPr>
            <w:r>
              <w:rPr>
                <w:rFonts w:ascii="Times New Roman" w:hAnsi="Times New Roman"/>
                <w:sz w:val="24"/>
              </w:rPr>
              <w:t>Τα πιστωτικά ιδρύματα αναφέρουν εδώ τα οφειλόμενα ποσά από χρηματοπιστωτικούς πελάτες προκειμένου το πιστωτικό ίδρυμα να λάβει υπηρεσίες εκκαθάρισης, φύλαξης ή διαχείρισης μετρητών σύμφωνα με το άρθρο 27 του κατ’ εξουσιοδότηση κανονισμού (ΕΕ) 2015/61.</w:t>
            </w:r>
          </w:p>
        </w:tc>
      </w:tr>
      <w:tr w:rsidR="00B47B7D" w:rsidRPr="000B6B22" w14:paraId="23028D48" w14:textId="77777777" w:rsidTr="00454544">
        <w:tc>
          <w:tcPr>
            <w:tcW w:w="756" w:type="dxa"/>
            <w:shd w:val="clear" w:color="auto" w:fill="auto"/>
            <w:vAlign w:val="center"/>
          </w:tcPr>
          <w:p w14:paraId="09CCA8F9" w14:textId="79C3963B" w:rsidR="007453EC" w:rsidRPr="000B6B22" w:rsidRDefault="00092BE3" w:rsidP="009D4EFF">
            <w:pPr>
              <w:spacing w:before="0"/>
              <w:rPr>
                <w:rFonts w:ascii="Times New Roman" w:hAnsi="Times New Roman"/>
                <w:sz w:val="24"/>
              </w:rPr>
            </w:pPr>
            <w:r>
              <w:rPr>
                <w:rFonts w:ascii="Times New Roman" w:hAnsi="Times New Roman"/>
                <w:sz w:val="24"/>
              </w:rPr>
              <w:t>0120</w:t>
            </w:r>
          </w:p>
        </w:tc>
        <w:tc>
          <w:tcPr>
            <w:tcW w:w="7540" w:type="dxa"/>
            <w:shd w:val="clear" w:color="auto" w:fill="auto"/>
          </w:tcPr>
          <w:p w14:paraId="0B7B1707" w14:textId="77777777" w:rsidR="007453EC" w:rsidRPr="000B6B22" w:rsidRDefault="007453EC">
            <w:pPr>
              <w:spacing w:before="0"/>
              <w:rPr>
                <w:rFonts w:ascii="Times New Roman" w:hAnsi="Times New Roman"/>
                <w:b/>
                <w:bCs/>
                <w:sz w:val="24"/>
              </w:rPr>
            </w:pPr>
            <w:r>
              <w:rPr>
                <w:rFonts w:ascii="Times New Roman" w:hAnsi="Times New Roman"/>
                <w:b/>
                <w:sz w:val="24"/>
              </w:rPr>
              <w:t>1.1.2.1.1. οφειλόμενα ποσά από χρηματοπιστωτικούς πελάτες που χαρακτηρίζονται ως λειτουργικές καταθέσεις, όταν το πιστωτικό ίδρυμα είναι σε θέση να αποδείξει το αντίστοιχο συμμετρικό ποσοστό εισροών</w:t>
            </w:r>
          </w:p>
          <w:p w14:paraId="0C2F0E5C" w14:textId="60B334D3" w:rsidR="007453EC" w:rsidRPr="000B6B22" w:rsidRDefault="000378A5">
            <w:pPr>
              <w:spacing w:before="0"/>
              <w:rPr>
                <w:rFonts w:ascii="Times New Roman" w:hAnsi="Times New Roman"/>
                <w:bCs/>
                <w:sz w:val="24"/>
              </w:rPr>
            </w:pPr>
            <w:r>
              <w:rPr>
                <w:rFonts w:ascii="Times New Roman" w:hAnsi="Times New Roman"/>
                <w:sz w:val="24"/>
              </w:rPr>
              <w:t>Άρθρο 32 παράγραφος 3 στοιχείο δ) σε συνδυασμό με το άρθρο 27 του κατ’ εξουσιοδότηση κανονισμού (ΕΕ) 2015/61</w:t>
            </w:r>
          </w:p>
          <w:p w14:paraId="04469659" w14:textId="55FE77D7" w:rsidR="007453EC" w:rsidRPr="000B6B22" w:rsidRDefault="007453EC">
            <w:pPr>
              <w:spacing w:before="0"/>
              <w:rPr>
                <w:rFonts w:ascii="Times New Roman" w:hAnsi="Times New Roman"/>
                <w:b/>
                <w:bCs/>
                <w:sz w:val="24"/>
              </w:rPr>
            </w:pPr>
            <w:r>
              <w:rPr>
                <w:rFonts w:ascii="Times New Roman" w:hAnsi="Times New Roman"/>
                <w:sz w:val="24"/>
              </w:rPr>
              <w:t>Οφειλόμενα ποσά από χρηματοπιστωτικούς πελάτες με εναπομένουσα ληκτότητα που δεν υπερβαίνει τις 30 ημέρες προκειμένου το πιστωτικό ίδρυμα να λάβει υπηρεσίες εκκαθάρισης, φύλαξης ή διαχείρισης μετρητών σύμφωνα με το άρθρο 27 του κατ’ εξουσιοδότηση κανονισμού (ΕΕ) 2015/61, εφόσον το πιστωτικό ίδρυμα είναι σε θέση να προσδιορίσει αντίστοιχο συμμετρικό ποσοστό εισροής.</w:t>
            </w:r>
          </w:p>
        </w:tc>
      </w:tr>
      <w:tr w:rsidR="00B47B7D" w:rsidRPr="000B6B22" w14:paraId="254AD351" w14:textId="77777777" w:rsidTr="00454544">
        <w:tc>
          <w:tcPr>
            <w:tcW w:w="756" w:type="dxa"/>
            <w:shd w:val="clear" w:color="auto" w:fill="auto"/>
            <w:vAlign w:val="center"/>
          </w:tcPr>
          <w:p w14:paraId="33F2B86E" w14:textId="0A86BE92" w:rsidR="007453EC" w:rsidRPr="000B6B22" w:rsidRDefault="00092BE3" w:rsidP="009D4EFF">
            <w:pPr>
              <w:spacing w:before="0"/>
              <w:rPr>
                <w:rFonts w:ascii="Times New Roman" w:hAnsi="Times New Roman"/>
                <w:sz w:val="24"/>
              </w:rPr>
            </w:pPr>
            <w:r>
              <w:rPr>
                <w:rFonts w:ascii="Times New Roman" w:hAnsi="Times New Roman"/>
                <w:sz w:val="24"/>
              </w:rPr>
              <w:t>0130</w:t>
            </w:r>
          </w:p>
        </w:tc>
        <w:tc>
          <w:tcPr>
            <w:tcW w:w="7540" w:type="dxa"/>
            <w:shd w:val="clear" w:color="auto" w:fill="auto"/>
          </w:tcPr>
          <w:p w14:paraId="019A336C" w14:textId="77777777" w:rsidR="007453EC" w:rsidRPr="000B6B22" w:rsidRDefault="007453EC">
            <w:pPr>
              <w:spacing w:before="0"/>
              <w:rPr>
                <w:rFonts w:ascii="Times New Roman" w:hAnsi="Times New Roman"/>
                <w:b/>
                <w:bCs/>
                <w:sz w:val="24"/>
              </w:rPr>
            </w:pPr>
            <w:r>
              <w:rPr>
                <w:rFonts w:ascii="Times New Roman" w:hAnsi="Times New Roman"/>
                <w:b/>
                <w:sz w:val="24"/>
              </w:rPr>
              <w:t>1.1.2.1.2. οφειλόμενα ποσά από χρηματοπιστωτικούς πελάτες που χαρακτηρίζονται ως λειτουργικές καταθέσεις, όταν το πιστωτικό ίδρυμα είναι σε θέση να αποδείξει το αντίστοιχο συμμετρικό ποσοστό εισροών</w:t>
            </w:r>
          </w:p>
          <w:p w14:paraId="13B37973" w14:textId="573B2BE5" w:rsidR="007453EC" w:rsidRPr="000B6B22" w:rsidRDefault="000378A5">
            <w:pPr>
              <w:spacing w:before="0"/>
              <w:rPr>
                <w:rFonts w:ascii="Times New Roman" w:hAnsi="Times New Roman"/>
                <w:bCs/>
                <w:sz w:val="24"/>
              </w:rPr>
            </w:pPr>
            <w:r>
              <w:rPr>
                <w:rFonts w:ascii="Times New Roman" w:hAnsi="Times New Roman"/>
                <w:sz w:val="24"/>
              </w:rPr>
              <w:lastRenderedPageBreak/>
              <w:t>Άρθρο 32 παράγραφος 3 στοιχείο δ) σε συνδυασμό με το άρθρο 27 του κατ’ εξουσιοδότηση κανονισμού (ΕΕ) 2015/61</w:t>
            </w:r>
          </w:p>
          <w:p w14:paraId="6746E1A1" w14:textId="3E479540" w:rsidR="007453EC" w:rsidRPr="000B6B22" w:rsidRDefault="007453EC">
            <w:pPr>
              <w:spacing w:before="0"/>
              <w:rPr>
                <w:rFonts w:ascii="Times New Roman" w:hAnsi="Times New Roman"/>
                <w:b/>
                <w:bCs/>
                <w:sz w:val="24"/>
              </w:rPr>
            </w:pPr>
            <w:r>
              <w:rPr>
                <w:rFonts w:ascii="Times New Roman" w:hAnsi="Times New Roman"/>
                <w:sz w:val="24"/>
              </w:rPr>
              <w:t>Οφειλόμενα ποσά από χρηματοπιστωτικούς πελάτες με εναπομένουσα ληκτότητα που δεν υπερβαίνει τις 30 ημέρες προκειμένου το πιστωτικό ίδρυμα να λάβει υπηρεσίες εκκαθάρισης, φύλαξης ή διαχείρισης μετρητών σύμφωνα με το άρθρο 27 του κατ’ εξουσιοδότηση κανονισμού (ΕΕ) 2015/61, εφόσον το πιστωτικό ίδρυμα δεν είναι σε θέση να προσδιορίσει αντίστοιχο συμμετρικό ποσοστό εισροής.</w:t>
            </w:r>
            <w:r>
              <w:rPr>
                <w:rFonts w:ascii="Times New Roman" w:hAnsi="Times New Roman"/>
                <w:b/>
                <w:sz w:val="24"/>
              </w:rPr>
              <w:t xml:space="preserve"> </w:t>
            </w:r>
            <w:r>
              <w:rPr>
                <w:rFonts w:ascii="Times New Roman" w:hAnsi="Times New Roman"/>
                <w:sz w:val="24"/>
              </w:rPr>
              <w:t>Για τα στοιχεία αυτά, εφαρμόζεται ποσοστό εισροής 5 %.</w:t>
            </w:r>
          </w:p>
        </w:tc>
      </w:tr>
      <w:tr w:rsidR="00B47B7D" w:rsidRPr="000B6B22" w14:paraId="45FC0C34" w14:textId="77777777" w:rsidTr="00454544">
        <w:tc>
          <w:tcPr>
            <w:tcW w:w="756" w:type="dxa"/>
            <w:shd w:val="clear" w:color="auto" w:fill="auto"/>
            <w:vAlign w:val="center"/>
          </w:tcPr>
          <w:p w14:paraId="429982EC" w14:textId="7ACC3D34" w:rsidR="007453EC" w:rsidRPr="000B6B22" w:rsidRDefault="00092BE3" w:rsidP="009D4EFF">
            <w:pPr>
              <w:spacing w:before="0"/>
              <w:rPr>
                <w:rFonts w:ascii="Times New Roman" w:hAnsi="Times New Roman"/>
                <w:sz w:val="24"/>
              </w:rPr>
            </w:pPr>
            <w:r>
              <w:rPr>
                <w:rFonts w:ascii="Times New Roman" w:hAnsi="Times New Roman"/>
                <w:sz w:val="24"/>
              </w:rPr>
              <w:lastRenderedPageBreak/>
              <w:t>0140</w:t>
            </w:r>
          </w:p>
        </w:tc>
        <w:tc>
          <w:tcPr>
            <w:tcW w:w="7540" w:type="dxa"/>
            <w:shd w:val="clear" w:color="auto" w:fill="auto"/>
          </w:tcPr>
          <w:p w14:paraId="16406FEE" w14:textId="77777777" w:rsidR="007453EC" w:rsidRPr="000B6B22" w:rsidRDefault="007453EC">
            <w:pPr>
              <w:spacing w:before="0"/>
              <w:rPr>
                <w:rFonts w:ascii="Times New Roman" w:hAnsi="Times New Roman"/>
                <w:b/>
                <w:bCs/>
                <w:sz w:val="24"/>
              </w:rPr>
            </w:pPr>
            <w:r>
              <w:rPr>
                <w:rFonts w:ascii="Times New Roman" w:hAnsi="Times New Roman"/>
                <w:b/>
                <w:sz w:val="24"/>
              </w:rPr>
              <w:t>1.1.2.2. οφειλόμενα ποσά από κεντρικές τράπεζες και χρηματοπιστωτικούς πελάτες που δεν χαρακτηρίζονται ως λειτουργικές καταθέσεις</w:t>
            </w:r>
          </w:p>
          <w:p w14:paraId="4112A8EB" w14:textId="2EDC68EE" w:rsidR="007453EC" w:rsidRPr="000B6B22" w:rsidRDefault="000378A5">
            <w:pPr>
              <w:spacing w:before="0"/>
              <w:rPr>
                <w:rFonts w:ascii="Times New Roman" w:hAnsi="Times New Roman"/>
                <w:bCs/>
                <w:sz w:val="24"/>
              </w:rPr>
            </w:pPr>
            <w:r>
              <w:rPr>
                <w:rFonts w:ascii="Times New Roman" w:hAnsi="Times New Roman"/>
                <w:sz w:val="24"/>
              </w:rPr>
              <w:t>Άρθρο 32 παράγραφος 2 στοιχείο α) του κατ’ εξουσιοδότηση κανονισμού (ΕΕ) 2015/61</w:t>
            </w:r>
          </w:p>
          <w:p w14:paraId="03E726B4" w14:textId="4F38E9FD" w:rsidR="007453EC" w:rsidRPr="000B6B22" w:rsidRDefault="007453EC">
            <w:pPr>
              <w:spacing w:before="0"/>
              <w:rPr>
                <w:rFonts w:ascii="Times New Roman" w:hAnsi="Times New Roman"/>
                <w:bCs/>
                <w:sz w:val="24"/>
              </w:rPr>
            </w:pPr>
            <w:r>
              <w:rPr>
                <w:rFonts w:ascii="Times New Roman" w:hAnsi="Times New Roman"/>
                <w:sz w:val="24"/>
              </w:rPr>
              <w:t>Τα πιστωτικά ιδρύματα αναφέρουν στη γραμμή 140 του υποδείγματος C 74.00 του παραρτήματος XXIV</w:t>
            </w:r>
          </w:p>
          <w:p w14:paraId="55C46702" w14:textId="07E32FA7" w:rsidR="007453EC" w:rsidRPr="000B6B22" w:rsidRDefault="007453EC">
            <w:pPr>
              <w:spacing w:before="0"/>
              <w:ind w:left="720" w:hanging="360"/>
              <w:rPr>
                <w:rFonts w:ascii="Times New Roman" w:hAnsi="Times New Roman"/>
                <w:bCs/>
                <w:sz w:val="24"/>
              </w:rPr>
            </w:pPr>
            <w:r>
              <w:rPr>
                <w:rFonts w:ascii="Times New Roman" w:hAnsi="Times New Roman"/>
                <w:sz w:val="24"/>
              </w:rPr>
              <w:t></w:t>
            </w:r>
            <w:r>
              <w:tab/>
            </w:r>
            <w:r>
              <w:rPr>
                <w:rFonts w:ascii="Times New Roman" w:hAnsi="Times New Roman"/>
                <w:sz w:val="24"/>
              </w:rPr>
              <w:t>για κάθε μία από τις στήλες 0010, 0020 και 0030, το συνολικό ποσό των οφειλόμενων ποσών από κεντρικές τράπεζες και χρηματοπιστωτικούς πελάτες που δεν χαρακτηρίζονται ως λειτουργικές καταθέσεις, και</w:t>
            </w:r>
          </w:p>
          <w:p w14:paraId="6AB0AA97" w14:textId="31A7BF35" w:rsidR="007453EC" w:rsidRPr="000B6B22" w:rsidRDefault="007453EC">
            <w:pPr>
              <w:spacing w:before="0"/>
              <w:ind w:left="720" w:hanging="360"/>
              <w:rPr>
                <w:rFonts w:ascii="Times New Roman" w:hAnsi="Times New Roman"/>
                <w:bCs/>
                <w:sz w:val="24"/>
              </w:rPr>
            </w:pPr>
            <w:r>
              <w:rPr>
                <w:rFonts w:ascii="Times New Roman" w:hAnsi="Times New Roman"/>
                <w:sz w:val="24"/>
              </w:rPr>
              <w:t></w:t>
            </w:r>
            <w:r>
              <w:tab/>
            </w:r>
            <w:r>
              <w:rPr>
                <w:rFonts w:ascii="Times New Roman" w:hAnsi="Times New Roman"/>
                <w:sz w:val="24"/>
              </w:rPr>
              <w:t>για κάθε μία από τις στήλες 0140, 0150 και 0160, το συνολικό ποσό των εισροών από κεντρικές τράπεζες και χρηματοπιστωτικούς πελάτες που δεν χαρακτηρίζονται ως λειτουργικές καταθέσεις.</w:t>
            </w:r>
          </w:p>
          <w:p w14:paraId="168D4E28" w14:textId="474EE3E0" w:rsidR="007453EC" w:rsidRPr="000B6B22" w:rsidRDefault="007453EC">
            <w:pPr>
              <w:spacing w:before="0"/>
              <w:rPr>
                <w:rFonts w:ascii="Times New Roman" w:hAnsi="Times New Roman"/>
                <w:b/>
                <w:bCs/>
                <w:sz w:val="24"/>
              </w:rPr>
            </w:pPr>
            <w:r>
              <w:rPr>
                <w:rFonts w:ascii="Times New Roman" w:hAnsi="Times New Roman"/>
                <w:sz w:val="24"/>
              </w:rPr>
              <w:t>Τα πιστωτικά ιδρύματα αναφέρουν εδώ οφειλόμενα ποσά από κεντρικές τράπεζες και χρηματοπιστωτικούς πελάτες τα οποία δεν πληρούν τους όρους για να αντιμετωπιστούν ως λειτουργικές καταθέσεις, όπως ορίζονται στο άρθρο 32 παράγραφος 3 στοιχείο δ) σε συνδυασμό με το άρθρο 27 του κατ’ εξουσιοδότηση κανονισμού (ΕΕ) 2015/61.</w:t>
            </w:r>
          </w:p>
        </w:tc>
      </w:tr>
      <w:tr w:rsidR="00B47B7D" w:rsidRPr="000B6B22" w14:paraId="7594C360" w14:textId="77777777" w:rsidTr="00454544">
        <w:tc>
          <w:tcPr>
            <w:tcW w:w="756" w:type="dxa"/>
            <w:shd w:val="clear" w:color="auto" w:fill="auto"/>
            <w:vAlign w:val="center"/>
          </w:tcPr>
          <w:p w14:paraId="716CFF27" w14:textId="31B7AC5D" w:rsidR="007453EC" w:rsidRPr="000B6B22" w:rsidRDefault="00092BE3" w:rsidP="009D4EFF">
            <w:pPr>
              <w:spacing w:before="0"/>
              <w:rPr>
                <w:rFonts w:ascii="Times New Roman" w:hAnsi="Times New Roman"/>
                <w:sz w:val="24"/>
              </w:rPr>
            </w:pPr>
            <w:r>
              <w:rPr>
                <w:rFonts w:ascii="Times New Roman" w:hAnsi="Times New Roman"/>
                <w:sz w:val="24"/>
              </w:rPr>
              <w:t>0150</w:t>
            </w:r>
          </w:p>
        </w:tc>
        <w:tc>
          <w:tcPr>
            <w:tcW w:w="7540" w:type="dxa"/>
            <w:shd w:val="clear" w:color="auto" w:fill="auto"/>
          </w:tcPr>
          <w:p w14:paraId="7D857A51" w14:textId="77777777" w:rsidR="007453EC" w:rsidRPr="000B6B22" w:rsidRDefault="007453EC">
            <w:pPr>
              <w:spacing w:before="0"/>
              <w:rPr>
                <w:rFonts w:ascii="Times New Roman" w:hAnsi="Times New Roman"/>
                <w:b/>
                <w:bCs/>
                <w:sz w:val="24"/>
              </w:rPr>
            </w:pPr>
            <w:r>
              <w:rPr>
                <w:rFonts w:ascii="Times New Roman" w:hAnsi="Times New Roman"/>
                <w:b/>
                <w:sz w:val="24"/>
              </w:rPr>
              <w:t>1.1.2.2.1. οφειλόμενα ποσά από κεντρικές τράπεζες</w:t>
            </w:r>
          </w:p>
          <w:p w14:paraId="04B27F13" w14:textId="74C8BBC1" w:rsidR="007453EC" w:rsidRPr="000B6B22" w:rsidRDefault="000378A5">
            <w:pPr>
              <w:spacing w:before="0"/>
              <w:rPr>
                <w:rFonts w:ascii="Times New Roman" w:hAnsi="Times New Roman"/>
                <w:bCs/>
                <w:sz w:val="24"/>
              </w:rPr>
            </w:pPr>
            <w:r>
              <w:rPr>
                <w:rFonts w:ascii="Times New Roman" w:hAnsi="Times New Roman"/>
                <w:sz w:val="24"/>
              </w:rPr>
              <w:t>Άρθρο 32 παράγραφος 2 στοιχείο α) του κατ’ εξουσιοδότηση κανονισμού (ΕΕ) 2015/61</w:t>
            </w:r>
          </w:p>
          <w:p w14:paraId="4EC1A2F0" w14:textId="1B2DC25D" w:rsidR="007453EC" w:rsidRPr="000B6B22" w:rsidRDefault="007453EC">
            <w:pPr>
              <w:spacing w:before="0"/>
              <w:rPr>
                <w:rFonts w:ascii="Times New Roman" w:hAnsi="Times New Roman"/>
                <w:b/>
                <w:bCs/>
                <w:sz w:val="24"/>
              </w:rPr>
            </w:pPr>
            <w:r>
              <w:rPr>
                <w:rFonts w:ascii="Times New Roman" w:hAnsi="Times New Roman"/>
                <w:sz w:val="24"/>
              </w:rPr>
              <w:t>Οφειλόμενα ποσά από κεντρικές τράπεζες με εναπομένουσα ληκτότητα που δεν υπερβαίνει τις 30 ημέρες, σύμφωνα με το άρθρο 32 παράγραφος 2 στοιχείο α) του κατ’ εξουσιοδότηση κανονισμού (ΕΕ) 2015/61.</w:t>
            </w:r>
          </w:p>
        </w:tc>
      </w:tr>
      <w:tr w:rsidR="00B47B7D" w:rsidRPr="000B6B22" w14:paraId="28E93580" w14:textId="77777777" w:rsidTr="00454544">
        <w:tc>
          <w:tcPr>
            <w:tcW w:w="756" w:type="dxa"/>
            <w:shd w:val="clear" w:color="auto" w:fill="auto"/>
            <w:vAlign w:val="center"/>
          </w:tcPr>
          <w:p w14:paraId="6718332F" w14:textId="058EAA3E" w:rsidR="007453EC" w:rsidRPr="000B6B22" w:rsidRDefault="00092BE3" w:rsidP="009D4EFF">
            <w:pPr>
              <w:spacing w:before="0"/>
              <w:rPr>
                <w:rFonts w:ascii="Times New Roman" w:hAnsi="Times New Roman"/>
                <w:sz w:val="24"/>
              </w:rPr>
            </w:pPr>
            <w:r>
              <w:rPr>
                <w:rFonts w:ascii="Times New Roman" w:hAnsi="Times New Roman"/>
                <w:sz w:val="24"/>
              </w:rPr>
              <w:t>0160</w:t>
            </w:r>
          </w:p>
        </w:tc>
        <w:tc>
          <w:tcPr>
            <w:tcW w:w="7540" w:type="dxa"/>
            <w:shd w:val="clear" w:color="auto" w:fill="auto"/>
          </w:tcPr>
          <w:p w14:paraId="26706EEA" w14:textId="77777777" w:rsidR="007453EC" w:rsidRPr="000B6B22" w:rsidRDefault="007453EC">
            <w:pPr>
              <w:spacing w:before="0"/>
              <w:rPr>
                <w:rFonts w:ascii="Times New Roman" w:hAnsi="Times New Roman"/>
                <w:b/>
                <w:bCs/>
                <w:sz w:val="24"/>
              </w:rPr>
            </w:pPr>
            <w:r>
              <w:rPr>
                <w:rFonts w:ascii="Times New Roman" w:hAnsi="Times New Roman"/>
                <w:b/>
                <w:sz w:val="24"/>
              </w:rPr>
              <w:t>1.1.2.2.2. οφειλόμενα ποσά από χρηματοπιστωτικούς πελάτες</w:t>
            </w:r>
          </w:p>
          <w:p w14:paraId="425BBC82" w14:textId="48F198E9" w:rsidR="007453EC" w:rsidRPr="000B6B22" w:rsidRDefault="000378A5">
            <w:pPr>
              <w:spacing w:before="0"/>
              <w:rPr>
                <w:rFonts w:ascii="Times New Roman" w:hAnsi="Times New Roman"/>
                <w:bCs/>
                <w:sz w:val="24"/>
              </w:rPr>
            </w:pPr>
            <w:r>
              <w:rPr>
                <w:rFonts w:ascii="Times New Roman" w:hAnsi="Times New Roman"/>
                <w:sz w:val="24"/>
              </w:rPr>
              <w:t>Άρθρο 32 παράγραφος 2 στοιχείο α) του κατ’ εξουσιοδότηση κανονισμού (ΕΕ) 2015/61</w:t>
            </w:r>
          </w:p>
          <w:p w14:paraId="545B953A" w14:textId="1F87FB0E" w:rsidR="007453EC" w:rsidRPr="000B6B22" w:rsidRDefault="007453EC">
            <w:pPr>
              <w:spacing w:before="0"/>
              <w:rPr>
                <w:rFonts w:ascii="Times New Roman" w:hAnsi="Times New Roman"/>
                <w:bCs/>
                <w:sz w:val="24"/>
              </w:rPr>
            </w:pPr>
            <w:r>
              <w:rPr>
                <w:rFonts w:ascii="Times New Roman" w:hAnsi="Times New Roman"/>
                <w:sz w:val="24"/>
              </w:rPr>
              <w:t>Οφειλόμενα ποσά από χρηματοπιστωτικούς πελάτες με εναπομένουσα ληκτότητα που δεν υπερβαίνει τις 30 ημέρες και τα οποία δεν πληρούν τους όρους για να αντιμετωπιστούν ως λειτουργικές καταθέσεις, όπως ορίζονται στο άρθρο 32 παράγραφος 3 στοιχείο δ) σε συνδυασμό με το άρθρο 27 του κατ’ εξουσιοδότηση κανονισμού (ΕΕ) 2015/61.</w:t>
            </w:r>
          </w:p>
          <w:p w14:paraId="5878AF48" w14:textId="3EB7084D" w:rsidR="007453EC" w:rsidRPr="000B6B22" w:rsidRDefault="007453EC">
            <w:pPr>
              <w:spacing w:before="0"/>
              <w:rPr>
                <w:rFonts w:ascii="Times New Roman" w:hAnsi="Times New Roman"/>
                <w:b/>
                <w:bCs/>
                <w:sz w:val="24"/>
              </w:rPr>
            </w:pPr>
            <w:r>
              <w:rPr>
                <w:rFonts w:ascii="Times New Roman" w:hAnsi="Times New Roman"/>
                <w:sz w:val="24"/>
              </w:rPr>
              <w:lastRenderedPageBreak/>
              <w:t>Εισροές που αντιστοιχούν σε εκροές σύμφωνα με δεσμεύσεις χρηματοδότησης προνομιακών δανείων που αναφέρονται στο άρθρο 31 παράγραφος 9 του κατ’ εξουσιοδότηση κανονισμού (ΕΕ) 2015/61 αναφέρονται στο τμήμα 1.1.3. και δεν αναφέρονται εδώ.</w:t>
            </w:r>
          </w:p>
        </w:tc>
      </w:tr>
      <w:tr w:rsidR="00B47B7D" w:rsidRPr="000B6B22" w14:paraId="79FBE8F2" w14:textId="77777777" w:rsidTr="00454544">
        <w:tc>
          <w:tcPr>
            <w:tcW w:w="756" w:type="dxa"/>
            <w:shd w:val="clear" w:color="auto" w:fill="auto"/>
            <w:vAlign w:val="center"/>
          </w:tcPr>
          <w:p w14:paraId="15B628E6" w14:textId="000AFA20" w:rsidR="007453EC" w:rsidRPr="000B6B22" w:rsidRDefault="00092BE3" w:rsidP="009D4EFF">
            <w:pPr>
              <w:spacing w:before="0"/>
              <w:rPr>
                <w:rFonts w:ascii="Times New Roman" w:hAnsi="Times New Roman"/>
                <w:sz w:val="24"/>
              </w:rPr>
            </w:pPr>
            <w:r>
              <w:rPr>
                <w:rFonts w:ascii="Times New Roman" w:hAnsi="Times New Roman"/>
                <w:sz w:val="24"/>
              </w:rPr>
              <w:lastRenderedPageBreak/>
              <w:t>0170</w:t>
            </w:r>
          </w:p>
        </w:tc>
        <w:tc>
          <w:tcPr>
            <w:tcW w:w="7540" w:type="dxa"/>
            <w:shd w:val="clear" w:color="auto" w:fill="auto"/>
            <w:vAlign w:val="center"/>
          </w:tcPr>
          <w:p w14:paraId="084BB847" w14:textId="0EC63F01" w:rsidR="007453EC" w:rsidRPr="000B6B22" w:rsidRDefault="007453EC">
            <w:pPr>
              <w:spacing w:before="0"/>
              <w:rPr>
                <w:rFonts w:ascii="Times New Roman" w:hAnsi="Times New Roman"/>
                <w:b/>
                <w:bCs/>
                <w:sz w:val="24"/>
              </w:rPr>
            </w:pPr>
            <w:r>
              <w:rPr>
                <w:rFonts w:ascii="Times New Roman" w:hAnsi="Times New Roman"/>
                <w:b/>
                <w:sz w:val="24"/>
              </w:rPr>
              <w:t>1.1.3. εισροές που αντιστοιχούν σε εκροές σύμφωνα με δεσμεύσεις χρηματοδότησης προνομιακών δανείων που αναφέρονται στο άρθρο 31 παράγραφος 9 του κατ’ εξουσιοδότηση κανονισμού (ΕΕ) 2015/61</w:t>
            </w:r>
          </w:p>
          <w:p w14:paraId="5BE94286" w14:textId="4CA5E7E2" w:rsidR="007453EC" w:rsidRPr="000B6B22" w:rsidRDefault="000378A5">
            <w:pPr>
              <w:spacing w:before="0"/>
              <w:rPr>
                <w:rFonts w:ascii="Times New Roman" w:hAnsi="Times New Roman"/>
                <w:bCs/>
                <w:sz w:val="24"/>
              </w:rPr>
            </w:pPr>
            <w:r>
              <w:rPr>
                <w:rFonts w:ascii="Times New Roman" w:hAnsi="Times New Roman"/>
                <w:sz w:val="24"/>
              </w:rPr>
              <w:t>Άρθρο 32 παράγραφος 3 στοιχείο α) του κατ’ εξουσιοδότηση κανονισμού (ΕΕ) 2015/61</w:t>
            </w:r>
          </w:p>
          <w:p w14:paraId="1EA9FA81" w14:textId="13BDA3FE" w:rsidR="007453EC" w:rsidRPr="000B6B22" w:rsidRDefault="007453EC">
            <w:pPr>
              <w:spacing w:before="0"/>
              <w:rPr>
                <w:rFonts w:ascii="Times New Roman" w:hAnsi="Times New Roman"/>
                <w:bCs/>
                <w:sz w:val="24"/>
              </w:rPr>
            </w:pPr>
            <w:r>
              <w:rPr>
                <w:rFonts w:ascii="Times New Roman" w:hAnsi="Times New Roman"/>
                <w:sz w:val="24"/>
              </w:rPr>
              <w:t>Εισροές που αντιστοιχούν σε εκροές σύμφωνα με δεσμεύσεις χρηματοδότησης προνομιακών δανείων που αναφέρονται στο άρθρο 31 παράγραφος 9 του κατ’ εξουσιοδότηση κανονισμού (ΕΕ) 2015/61.</w:t>
            </w:r>
          </w:p>
        </w:tc>
      </w:tr>
      <w:tr w:rsidR="00B47B7D" w:rsidRPr="000B6B22" w14:paraId="67304281" w14:textId="77777777" w:rsidTr="00454544">
        <w:tc>
          <w:tcPr>
            <w:tcW w:w="756" w:type="dxa"/>
            <w:shd w:val="clear" w:color="auto" w:fill="auto"/>
            <w:vAlign w:val="center"/>
          </w:tcPr>
          <w:p w14:paraId="5024940F" w14:textId="6EEB1A2C" w:rsidR="007453EC" w:rsidRPr="000B6B22" w:rsidRDefault="00092BE3" w:rsidP="009D4EFF">
            <w:pPr>
              <w:spacing w:before="0"/>
              <w:rPr>
                <w:rFonts w:ascii="Times New Roman" w:hAnsi="Times New Roman"/>
                <w:sz w:val="24"/>
              </w:rPr>
            </w:pPr>
            <w:r>
              <w:rPr>
                <w:rFonts w:ascii="Times New Roman" w:hAnsi="Times New Roman"/>
                <w:sz w:val="24"/>
              </w:rPr>
              <w:t>0180</w:t>
            </w:r>
          </w:p>
        </w:tc>
        <w:tc>
          <w:tcPr>
            <w:tcW w:w="7540" w:type="dxa"/>
            <w:shd w:val="clear" w:color="auto" w:fill="auto"/>
            <w:vAlign w:val="center"/>
          </w:tcPr>
          <w:p w14:paraId="2650DEF0" w14:textId="77777777" w:rsidR="007453EC" w:rsidRPr="000B6B22" w:rsidRDefault="007453EC">
            <w:pPr>
              <w:spacing w:before="0"/>
              <w:rPr>
                <w:rFonts w:ascii="Times New Roman" w:hAnsi="Times New Roman"/>
                <w:b/>
                <w:bCs/>
                <w:sz w:val="24"/>
              </w:rPr>
            </w:pPr>
            <w:r>
              <w:rPr>
                <w:rFonts w:ascii="Times New Roman" w:hAnsi="Times New Roman"/>
                <w:b/>
                <w:sz w:val="24"/>
              </w:rPr>
              <w:t>1.1.4. οφειλόμενα ποσά από συναλλαγές χρηματοδότησης εμπορικών συναλλαγών</w:t>
            </w:r>
          </w:p>
          <w:p w14:paraId="07856EB7" w14:textId="25AE3391" w:rsidR="007453EC" w:rsidRPr="000B6B22" w:rsidRDefault="000378A5">
            <w:pPr>
              <w:spacing w:before="0"/>
              <w:rPr>
                <w:rFonts w:ascii="Times New Roman" w:hAnsi="Times New Roman"/>
                <w:bCs/>
                <w:sz w:val="24"/>
              </w:rPr>
            </w:pPr>
            <w:r>
              <w:rPr>
                <w:rFonts w:ascii="Times New Roman" w:hAnsi="Times New Roman"/>
                <w:sz w:val="24"/>
              </w:rPr>
              <w:t>Άρθρο 32 παράγραφος 2 στοιχείο β) του κατ’ εξουσιοδότηση κανονισμού (ΕΕ) 2015/61</w:t>
            </w:r>
          </w:p>
          <w:p w14:paraId="24F50792" w14:textId="3C40DCB3" w:rsidR="007453EC" w:rsidRPr="000B6B22" w:rsidRDefault="007453EC">
            <w:pPr>
              <w:spacing w:before="0"/>
              <w:rPr>
                <w:rFonts w:ascii="Times New Roman" w:hAnsi="Times New Roman"/>
                <w:b/>
                <w:bCs/>
                <w:sz w:val="24"/>
              </w:rPr>
            </w:pPr>
            <w:r>
              <w:rPr>
                <w:rFonts w:ascii="Times New Roman" w:hAnsi="Times New Roman"/>
                <w:sz w:val="24"/>
              </w:rPr>
              <w:t>Οφειλόμενα ποσά από συναλλαγές χρηματοδότησης του εμπορίου με εναπομένουσα ληκτότητα που δεν υπερβαίνει τις 30 ημέρες, σύμφωνα με το άρθρο 32 παράγραφος 2 στοιχείο β) του κατ’ εξουσιοδότηση κανονισμού (ΕΕ) 2015/61.</w:t>
            </w:r>
          </w:p>
        </w:tc>
      </w:tr>
      <w:tr w:rsidR="00B47B7D" w:rsidRPr="000B6B22" w14:paraId="3E521F84" w14:textId="77777777" w:rsidTr="00454544">
        <w:tc>
          <w:tcPr>
            <w:tcW w:w="756" w:type="dxa"/>
            <w:shd w:val="clear" w:color="auto" w:fill="auto"/>
            <w:vAlign w:val="center"/>
          </w:tcPr>
          <w:p w14:paraId="4174403B" w14:textId="5158B5D8" w:rsidR="007453EC" w:rsidRPr="000B6B22" w:rsidRDefault="00092BE3" w:rsidP="009D4EFF">
            <w:pPr>
              <w:spacing w:before="0"/>
              <w:rPr>
                <w:rFonts w:ascii="Times New Roman" w:hAnsi="Times New Roman"/>
                <w:sz w:val="24"/>
              </w:rPr>
            </w:pPr>
            <w:r>
              <w:rPr>
                <w:rFonts w:ascii="Times New Roman" w:hAnsi="Times New Roman"/>
                <w:sz w:val="24"/>
              </w:rPr>
              <w:t>0190</w:t>
            </w:r>
          </w:p>
        </w:tc>
        <w:tc>
          <w:tcPr>
            <w:tcW w:w="7540" w:type="dxa"/>
            <w:shd w:val="clear" w:color="auto" w:fill="auto"/>
            <w:vAlign w:val="center"/>
          </w:tcPr>
          <w:p w14:paraId="23D0EA75" w14:textId="77777777" w:rsidR="007453EC" w:rsidRPr="000B6B22" w:rsidRDefault="007453EC">
            <w:pPr>
              <w:spacing w:before="0"/>
              <w:rPr>
                <w:rFonts w:ascii="Times New Roman" w:hAnsi="Times New Roman"/>
                <w:b/>
                <w:bCs/>
                <w:sz w:val="24"/>
              </w:rPr>
            </w:pPr>
            <w:r>
              <w:rPr>
                <w:rFonts w:ascii="Times New Roman" w:hAnsi="Times New Roman"/>
                <w:b/>
                <w:sz w:val="24"/>
              </w:rPr>
              <w:t>1.1.5. οφειλόμενα ποσά από τίτλους που λήγουν εντός 30 ημερών</w:t>
            </w:r>
          </w:p>
          <w:p w14:paraId="20BF47DF" w14:textId="30C33678" w:rsidR="007453EC" w:rsidRPr="000B6B22" w:rsidRDefault="000378A5">
            <w:pPr>
              <w:spacing w:before="0"/>
              <w:rPr>
                <w:rFonts w:ascii="Times New Roman" w:hAnsi="Times New Roman"/>
                <w:bCs/>
                <w:sz w:val="24"/>
              </w:rPr>
            </w:pPr>
            <w:r>
              <w:rPr>
                <w:rFonts w:ascii="Times New Roman" w:hAnsi="Times New Roman"/>
                <w:sz w:val="24"/>
              </w:rPr>
              <w:t>Άρθρο 32 παράγραφος 2 στοιχείο γ) του κατ’ εξουσιοδότηση κανονισμού (ΕΕ) 2015/61</w:t>
            </w:r>
          </w:p>
          <w:p w14:paraId="653506C8" w14:textId="39AAEB2A" w:rsidR="007453EC" w:rsidRPr="000B6B22" w:rsidRDefault="007453EC">
            <w:pPr>
              <w:spacing w:before="0"/>
              <w:rPr>
                <w:rFonts w:ascii="Times New Roman" w:hAnsi="Times New Roman"/>
                <w:b/>
                <w:bCs/>
                <w:sz w:val="24"/>
              </w:rPr>
            </w:pPr>
            <w:r>
              <w:rPr>
                <w:rFonts w:ascii="Times New Roman" w:hAnsi="Times New Roman"/>
                <w:sz w:val="24"/>
              </w:rPr>
              <w:t>Οφειλόμενα ποσά από τίτλους που λήγουν εντός 30 ημερολογιακών ημερών, σύμφωνα με το άρθρο 32 παράγραφος 2 στοιχείο γ) του κατ’ εξουσιοδότηση κανονισμού (ΕΕ) 2015/61.</w:t>
            </w:r>
          </w:p>
        </w:tc>
      </w:tr>
      <w:tr w:rsidR="00B47B7D" w:rsidRPr="000B6B22" w14:paraId="609F2B9B" w14:textId="77777777" w:rsidTr="00454544">
        <w:tc>
          <w:tcPr>
            <w:tcW w:w="756" w:type="dxa"/>
            <w:shd w:val="clear" w:color="auto" w:fill="auto"/>
            <w:vAlign w:val="center"/>
          </w:tcPr>
          <w:p w14:paraId="6F8FE444" w14:textId="633D31C3" w:rsidR="007453EC" w:rsidRPr="000B6B22" w:rsidRDefault="00092BE3" w:rsidP="009D4EFF">
            <w:pPr>
              <w:spacing w:before="0"/>
              <w:rPr>
                <w:rFonts w:ascii="Times New Roman" w:hAnsi="Times New Roman"/>
                <w:sz w:val="24"/>
              </w:rPr>
            </w:pPr>
            <w:r>
              <w:rPr>
                <w:rFonts w:ascii="Times New Roman" w:hAnsi="Times New Roman"/>
                <w:sz w:val="24"/>
              </w:rPr>
              <w:t>0201</w:t>
            </w:r>
          </w:p>
        </w:tc>
        <w:tc>
          <w:tcPr>
            <w:tcW w:w="7540" w:type="dxa"/>
            <w:shd w:val="clear" w:color="auto" w:fill="auto"/>
            <w:vAlign w:val="center"/>
          </w:tcPr>
          <w:p w14:paraId="7E34F252" w14:textId="2CF0CA1A" w:rsidR="007453EC" w:rsidRPr="000B6B22" w:rsidRDefault="007453EC">
            <w:pPr>
              <w:spacing w:before="0"/>
              <w:rPr>
                <w:rFonts w:ascii="Times New Roman" w:hAnsi="Times New Roman"/>
                <w:b/>
                <w:bCs/>
                <w:sz w:val="24"/>
              </w:rPr>
            </w:pPr>
            <w:r>
              <w:rPr>
                <w:rFonts w:ascii="Times New Roman" w:hAnsi="Times New Roman"/>
                <w:b/>
                <w:sz w:val="24"/>
              </w:rPr>
              <w:t>1.1.6. δάνεια με μη καθορισμένη συμβατική ημερομηνία λήξης</w:t>
            </w:r>
          </w:p>
          <w:p w14:paraId="50412A1A" w14:textId="711B8B54" w:rsidR="007453EC" w:rsidRPr="000B6B22" w:rsidRDefault="000378A5">
            <w:pPr>
              <w:spacing w:before="0"/>
              <w:rPr>
                <w:rFonts w:ascii="Times New Roman" w:hAnsi="Times New Roman"/>
                <w:bCs/>
                <w:sz w:val="24"/>
              </w:rPr>
            </w:pPr>
            <w:r>
              <w:rPr>
                <w:rFonts w:ascii="Times New Roman" w:hAnsi="Times New Roman"/>
                <w:sz w:val="24"/>
              </w:rPr>
              <w:t>Άρθρο 32 παράγραφος 3 στοιχείο θ) του κατ’ εξουσιοδότηση κανονισμού (ΕΕ) 2015/61</w:t>
            </w:r>
          </w:p>
          <w:p w14:paraId="6EF8FA17" w14:textId="18CEC767" w:rsidR="007453EC" w:rsidRPr="000B6B22" w:rsidRDefault="007453EC">
            <w:pPr>
              <w:spacing w:before="0"/>
              <w:rPr>
                <w:rFonts w:ascii="Times New Roman" w:hAnsi="Times New Roman"/>
                <w:b/>
                <w:bCs/>
                <w:sz w:val="24"/>
              </w:rPr>
            </w:pPr>
            <w:r>
              <w:rPr>
                <w:rFonts w:ascii="Times New Roman" w:hAnsi="Times New Roman"/>
                <w:sz w:val="24"/>
              </w:rPr>
              <w:t>Δάνεια με μη προσδιορισμένη συμβατική ημερομηνία λήξης σύμφωνα με το άρθρο 32 παράγραφος 3 στοιχείο θ) του κατ’ εξουσιοδότηση κανονισμού (ΕΕ) 2015/61. Το πιστωτικό ίδρυμα λαμβάνει υπόψη μόνον εκείνα τα δάνεια για τα οποία η σύμβαση επιτρέπει στο πιστωτικό ίδρυμα να καταγγείλει τη σύμβαση ή να απαιτήσει πληρωμή εντός 30 ημερολογιακών ημερών. Στο αναφερόμενο ποσό περιλαμβάνονται τόκοι και ελάχιστες πληρωμές προς χρέωση στον λογαριασμό πελάτη εντός των 30 ημερολογιακών ημερών. Τόκοι και ελάχιστες πληρωμές από δάνεια με μη προσδιορισμένη συμβατική ημερομηνία λήξης που οφείλονται βάσει συμβάσεως και οδηγούν σε πραγματικές ταμειακές εισροές εντός των επόμενων 30 ημερολογιακών ημερών θεωρούνται οφειλόμενα ποσά και αναφέρονται στη σχετική γραμμή, μετά τη μεταχείριση που προβλέπει το άρθρο 32 για τα οφειλόμενα ποσά. Τα πιστωτικά ιδρύματα δεν αναφέρουν άλλους δεδουλευμένους τόκους, αλλά που ούτε χρεώνονται στον λογαριασμό πελάτη ούτε συνεπάγονται πραγματική ταμειακή εισροή κατά τη διάρκεια των επόμενων 30 ημερολογιακών ημερών.</w:t>
            </w:r>
          </w:p>
        </w:tc>
      </w:tr>
      <w:tr w:rsidR="00B47B7D" w:rsidRPr="000B6B22" w14:paraId="0F96184A" w14:textId="77777777" w:rsidTr="00454544">
        <w:tc>
          <w:tcPr>
            <w:tcW w:w="756" w:type="dxa"/>
            <w:shd w:val="clear" w:color="auto" w:fill="auto"/>
            <w:vAlign w:val="center"/>
          </w:tcPr>
          <w:p w14:paraId="5558BED6" w14:textId="0DF4418E" w:rsidR="007453EC" w:rsidRPr="000B6B22" w:rsidRDefault="00092BE3" w:rsidP="009D4EFF">
            <w:pPr>
              <w:spacing w:before="0"/>
              <w:rPr>
                <w:rFonts w:ascii="Times New Roman" w:hAnsi="Times New Roman"/>
                <w:sz w:val="24"/>
              </w:rPr>
            </w:pPr>
            <w:r>
              <w:rPr>
                <w:rFonts w:ascii="Times New Roman" w:hAnsi="Times New Roman"/>
                <w:sz w:val="24"/>
              </w:rPr>
              <w:lastRenderedPageBreak/>
              <w:t>0210</w:t>
            </w:r>
          </w:p>
        </w:tc>
        <w:tc>
          <w:tcPr>
            <w:tcW w:w="7540" w:type="dxa"/>
            <w:shd w:val="clear" w:color="auto" w:fill="auto"/>
            <w:vAlign w:val="center"/>
          </w:tcPr>
          <w:p w14:paraId="489DF64D" w14:textId="77777777" w:rsidR="007453EC" w:rsidRPr="000B6B22" w:rsidRDefault="007453EC">
            <w:pPr>
              <w:spacing w:before="0"/>
              <w:rPr>
                <w:rFonts w:ascii="Times New Roman" w:hAnsi="Times New Roman"/>
                <w:b/>
                <w:bCs/>
                <w:sz w:val="24"/>
              </w:rPr>
            </w:pPr>
            <w:r>
              <w:rPr>
                <w:rFonts w:ascii="Times New Roman" w:hAnsi="Times New Roman"/>
                <w:b/>
                <w:sz w:val="24"/>
              </w:rPr>
              <w:t>1.1.7. οφειλόμενα ποσά από θέσεις σε μετοχικά προϊόντα κύριων δεικτών υπό τον όρο ότι δεν γίνεται διπλός υπολογισμός με τα ρευστά στοιχεία ενεργητικού</w:t>
            </w:r>
          </w:p>
          <w:p w14:paraId="6EFECAA7" w14:textId="41986F3F" w:rsidR="007453EC" w:rsidRPr="000B6B22" w:rsidRDefault="000378A5">
            <w:pPr>
              <w:spacing w:before="0"/>
              <w:rPr>
                <w:rFonts w:ascii="Times New Roman" w:hAnsi="Times New Roman"/>
                <w:bCs/>
                <w:sz w:val="24"/>
              </w:rPr>
            </w:pPr>
            <w:r>
              <w:rPr>
                <w:rFonts w:ascii="Times New Roman" w:hAnsi="Times New Roman"/>
                <w:sz w:val="24"/>
              </w:rPr>
              <w:t>Άρθρο 32 παράγραφος 2 στοιχείο δ) του κατ’ εξουσιοδότηση κανονισμού (ΕΕ) 2015/61</w:t>
            </w:r>
          </w:p>
          <w:p w14:paraId="3FB14AF9" w14:textId="5F6008BB" w:rsidR="007453EC" w:rsidRPr="000B6B22" w:rsidRDefault="007453EC">
            <w:pPr>
              <w:spacing w:before="0"/>
              <w:rPr>
                <w:rFonts w:ascii="Times New Roman" w:hAnsi="Times New Roman"/>
                <w:b/>
                <w:bCs/>
                <w:sz w:val="24"/>
              </w:rPr>
            </w:pPr>
            <w:r>
              <w:rPr>
                <w:rFonts w:ascii="Times New Roman" w:hAnsi="Times New Roman"/>
                <w:sz w:val="24"/>
              </w:rPr>
              <w:t>Οφειλόμενα ποσά από θέσεις σε κύριους δείκτες μετοχικών τίτλων υπό τον όρο ότι δεν γίνεται διπλός υπολογισμός με τα ρευστά στοιχεία του ενεργητικού σύμφωνα με το άρθρο 32 παράγραφος 2 στοιχείο δ) του κατ’ εξουσιοδότηση κανονισμού (ΕΕ) 2015/61. Η θέση περιλαμβάνει ποσά που οφείλονται βάσει σύμβασης εντός 30 ημερολογιακών ημερών, όπως μερίσματα σε μετρητά από τους εν λόγω κύριους δείκτες και μετρητά που οφείλονται από τα εν λόγω μετοχικά μέσα που έχουν πωληθεί, αλλά δεν έχουν ακόμη διακανονιστεί, εάν δεν αναγνωρίζονται ως ρευστά στοιχεία ενεργητικού σύμφωνα με τον τίτλο II του κατ’ εξουσιοδότηση κανονισμού (ΕΕ) 2015/61.</w:t>
            </w:r>
          </w:p>
        </w:tc>
      </w:tr>
      <w:tr w:rsidR="00B47B7D" w:rsidRPr="000B6B22" w14:paraId="2B10E917" w14:textId="77777777" w:rsidTr="00454544">
        <w:tc>
          <w:tcPr>
            <w:tcW w:w="756" w:type="dxa"/>
            <w:shd w:val="clear" w:color="auto" w:fill="auto"/>
            <w:vAlign w:val="center"/>
          </w:tcPr>
          <w:p w14:paraId="2AD6B757" w14:textId="2F712225" w:rsidR="007453EC" w:rsidRPr="000B6B22" w:rsidRDefault="00092BE3" w:rsidP="009D4EFF">
            <w:pPr>
              <w:spacing w:before="0"/>
              <w:rPr>
                <w:rFonts w:ascii="Times New Roman" w:hAnsi="Times New Roman"/>
                <w:sz w:val="24"/>
              </w:rPr>
            </w:pPr>
            <w:r>
              <w:rPr>
                <w:rFonts w:ascii="Times New Roman" w:hAnsi="Times New Roman"/>
                <w:sz w:val="24"/>
              </w:rPr>
              <w:t>0230</w:t>
            </w:r>
          </w:p>
        </w:tc>
        <w:tc>
          <w:tcPr>
            <w:tcW w:w="7540" w:type="dxa"/>
            <w:shd w:val="clear" w:color="auto" w:fill="auto"/>
            <w:vAlign w:val="center"/>
          </w:tcPr>
          <w:p w14:paraId="0A443FE1" w14:textId="3DD7455C" w:rsidR="007453EC" w:rsidRPr="000B6B22" w:rsidRDefault="007453EC">
            <w:pPr>
              <w:spacing w:before="0"/>
              <w:rPr>
                <w:rFonts w:ascii="Times New Roman" w:hAnsi="Times New Roman"/>
                <w:b/>
                <w:bCs/>
                <w:sz w:val="24"/>
              </w:rPr>
            </w:pPr>
            <w:r>
              <w:rPr>
                <w:rFonts w:ascii="Times New Roman" w:hAnsi="Times New Roman"/>
                <w:b/>
                <w:sz w:val="24"/>
              </w:rPr>
              <w:t>1.1.8. εισροές από την αποδέσμευση υπολοίπων που διατηρούνται σε χωριστούς λογαριασμούς, σύμφωνα με τις κανονιστικές απαιτήσεις για την προστασία των στοιχείων ενεργητικού που αποτελούν αντικείμενο συναλλαγών πελατών</w:t>
            </w:r>
          </w:p>
          <w:p w14:paraId="775341D9" w14:textId="023BC8E7" w:rsidR="007453EC" w:rsidRPr="000B6B22" w:rsidRDefault="007453EC">
            <w:pPr>
              <w:spacing w:before="0"/>
              <w:rPr>
                <w:rFonts w:ascii="Times New Roman" w:hAnsi="Times New Roman"/>
                <w:bCs/>
                <w:sz w:val="24"/>
              </w:rPr>
            </w:pPr>
            <w:r>
              <w:rPr>
                <w:rFonts w:ascii="Times New Roman" w:hAnsi="Times New Roman"/>
                <w:sz w:val="24"/>
              </w:rPr>
              <w:t>Άρθρο 32 παράγραφος 4 του κατ’ εξουσιοδότηση κανονισμού (ΕΕ) 2015/61</w:t>
            </w:r>
          </w:p>
          <w:p w14:paraId="50121AFE" w14:textId="4A96E6A9" w:rsidR="007453EC" w:rsidRPr="000B6B22" w:rsidRDefault="007453EC">
            <w:pPr>
              <w:spacing w:before="0"/>
              <w:rPr>
                <w:rFonts w:ascii="Times New Roman" w:hAnsi="Times New Roman"/>
                <w:bCs/>
                <w:sz w:val="24"/>
              </w:rPr>
            </w:pPr>
            <w:r>
              <w:rPr>
                <w:rFonts w:ascii="Times New Roman" w:hAnsi="Times New Roman"/>
                <w:sz w:val="24"/>
              </w:rPr>
              <w:t>Εισροές από την αποδέσμευση υπολοίπων που τηρούνται σε χωριστούς λογαριασμούς, σύμφωνα με τις κανονιστικές απαιτήσεις για την προστασία των στοιχείων ενεργητικού που αποτελούν αντικείμενο συναλλαγών πελατών σύμφωνα με το άρθρο 32 παράγραφος 4 του κατ’ εξουσιοδότηση κανονισμού (ΕΕ) 2015/61.</w:t>
            </w:r>
          </w:p>
          <w:p w14:paraId="61A2512C" w14:textId="37159C83" w:rsidR="007453EC" w:rsidRPr="000B6B22" w:rsidRDefault="007453EC">
            <w:pPr>
              <w:spacing w:before="0"/>
              <w:rPr>
                <w:rFonts w:ascii="Times New Roman" w:hAnsi="Times New Roman"/>
                <w:b/>
                <w:bCs/>
                <w:sz w:val="24"/>
              </w:rPr>
            </w:pPr>
            <w:r>
              <w:rPr>
                <w:rFonts w:ascii="Times New Roman" w:hAnsi="Times New Roman"/>
                <w:sz w:val="24"/>
              </w:rPr>
              <w:t>Εισροές λαμβάνονται υπόψη μόνον εάν τα εν λόγω υπόλοιπα τηρούνται σε ρευστά στοιχεία ενεργητικού, όπως ορίζεται στον τίτλο ΙΙ του κατ’ εξουσιοδότηση κανονισμού (ΕΕ) 2015/61.</w:t>
            </w:r>
          </w:p>
        </w:tc>
      </w:tr>
      <w:tr w:rsidR="00B47B7D" w:rsidRPr="000B6B22" w14:paraId="5F0019D0" w14:textId="77777777" w:rsidTr="00454544">
        <w:tc>
          <w:tcPr>
            <w:tcW w:w="756" w:type="dxa"/>
            <w:shd w:val="clear" w:color="auto" w:fill="auto"/>
            <w:vAlign w:val="center"/>
          </w:tcPr>
          <w:p w14:paraId="42CAE49B" w14:textId="34B646FA" w:rsidR="007453EC" w:rsidRPr="000B6B22" w:rsidRDefault="00092BE3" w:rsidP="009D4EFF">
            <w:pPr>
              <w:spacing w:before="0"/>
              <w:rPr>
                <w:rFonts w:ascii="Times New Roman" w:hAnsi="Times New Roman"/>
                <w:sz w:val="24"/>
              </w:rPr>
            </w:pPr>
            <w:r>
              <w:rPr>
                <w:rFonts w:ascii="Times New Roman" w:hAnsi="Times New Roman"/>
                <w:sz w:val="24"/>
              </w:rPr>
              <w:t>0240</w:t>
            </w:r>
          </w:p>
        </w:tc>
        <w:tc>
          <w:tcPr>
            <w:tcW w:w="7540" w:type="dxa"/>
            <w:shd w:val="clear" w:color="auto" w:fill="auto"/>
            <w:vAlign w:val="center"/>
          </w:tcPr>
          <w:p w14:paraId="7CB0F28F" w14:textId="068CB41D" w:rsidR="007453EC" w:rsidRPr="000B6B22" w:rsidRDefault="007453EC">
            <w:pPr>
              <w:spacing w:before="0"/>
              <w:rPr>
                <w:rFonts w:ascii="Times New Roman" w:hAnsi="Times New Roman"/>
                <w:b/>
                <w:bCs/>
                <w:sz w:val="24"/>
              </w:rPr>
            </w:pPr>
            <w:r>
              <w:rPr>
                <w:rFonts w:ascii="Times New Roman" w:hAnsi="Times New Roman"/>
                <w:b/>
                <w:sz w:val="24"/>
              </w:rPr>
              <w:t>1.1.9. εισροές από παράγωγα</w:t>
            </w:r>
          </w:p>
          <w:p w14:paraId="2B565980" w14:textId="5322282D" w:rsidR="007453EC" w:rsidRPr="000B6B22" w:rsidRDefault="007453EC">
            <w:pPr>
              <w:spacing w:before="0"/>
              <w:rPr>
                <w:rFonts w:ascii="Times New Roman" w:hAnsi="Times New Roman"/>
                <w:bCs/>
                <w:sz w:val="24"/>
              </w:rPr>
            </w:pPr>
            <w:r>
              <w:rPr>
                <w:rFonts w:ascii="Times New Roman" w:hAnsi="Times New Roman"/>
                <w:sz w:val="24"/>
              </w:rPr>
              <w:t>Άρθρο 32 παράγραφος 5 σε συνδυασμό με το άρθρο 21 του κατ’ εξουσιοδότηση κανονισμού (ΕΕ) 2015/61</w:t>
            </w:r>
          </w:p>
          <w:p w14:paraId="2AB45F97" w14:textId="4BD3B8B3" w:rsidR="007453EC" w:rsidRPr="000B6B22" w:rsidRDefault="007453EC">
            <w:pPr>
              <w:spacing w:before="0"/>
              <w:rPr>
                <w:rFonts w:ascii="Times New Roman" w:hAnsi="Times New Roman"/>
                <w:bCs/>
                <w:sz w:val="24"/>
              </w:rPr>
            </w:pPr>
            <w:r>
              <w:rPr>
                <w:rFonts w:ascii="Times New Roman" w:hAnsi="Times New Roman"/>
                <w:sz w:val="24"/>
              </w:rPr>
              <w:t>Το καθαρό ποσό των εισπρακτέων απαιτήσεων που αναμένονται την περίοδο των 30 ημερολογιακών ημερών από τις συμβάσεις του παραρτήματος ΙΙ του κανονισμού (ΕΕ) 575/2013 και από πιστωτικά παράγωγα.</w:t>
            </w:r>
          </w:p>
          <w:p w14:paraId="498479E7" w14:textId="3293DB26" w:rsidR="007453EC" w:rsidRPr="000B6B22" w:rsidRDefault="007453EC">
            <w:pPr>
              <w:spacing w:before="0"/>
              <w:rPr>
                <w:rFonts w:ascii="Times New Roman" w:hAnsi="Times New Roman"/>
                <w:bCs/>
                <w:sz w:val="24"/>
              </w:rPr>
            </w:pPr>
            <w:r>
              <w:rPr>
                <w:rFonts w:ascii="Times New Roman" w:hAnsi="Times New Roman"/>
                <w:sz w:val="24"/>
              </w:rPr>
              <w:t>Τα πιστωτικά ιδρύματα υπολογίζουν τις εισροές που αναμένονται κατά τη διάρκεια περιόδου 30 ημερολογιακών ημερών σε καθαρή βάση και ανά αντισυμβαλλόμενο, με την προϋπόθεση ότι υπάρχουν διμερείς συμφωνίες συμψηφισμού σύμφωνα με το άρθρο 295 του κανονισμού (ΕΕ) αριθ. 575/2013. Καθαρή βάση σημαίνει επίσης μετά την αφαίρεση της ληφθείσας εξασφάλισης, με την προϋπόθεση ότι αυτή μπορεί να θεωρηθεί ρευστό στοιχείο ενεργητικού σύμφωνα με τον τίτλο ΙΙ του κατ’ εξουσιοδότηση κανονισμού (ΕΕ) 2015/61.</w:t>
            </w:r>
          </w:p>
          <w:p w14:paraId="7A456C61" w14:textId="77777777" w:rsidR="007453EC" w:rsidRPr="000B6B22" w:rsidRDefault="007453EC">
            <w:pPr>
              <w:spacing w:before="0"/>
              <w:rPr>
                <w:rFonts w:ascii="Times New Roman" w:hAnsi="Times New Roman"/>
                <w:bCs/>
                <w:sz w:val="24"/>
              </w:rPr>
            </w:pPr>
            <w:r>
              <w:rPr>
                <w:rFonts w:ascii="Times New Roman" w:hAnsi="Times New Roman"/>
                <w:sz w:val="24"/>
              </w:rPr>
              <w:t xml:space="preserve">Οι ταμειακές εκροές και εισροές που προκύπτουν από συναλλαγές παραγώγων σε ξένο νόμισμα ή πιστωτικών παραγώγων οι οποίες </w:t>
            </w:r>
            <w:r>
              <w:rPr>
                <w:rFonts w:ascii="Times New Roman" w:hAnsi="Times New Roman"/>
                <w:sz w:val="24"/>
              </w:rPr>
              <w:lastRenderedPageBreak/>
              <w:t>συνεπάγονται πλήρη ανταλλαγή ποσών αρχικού κεφαλαίου σε ταυτόχρονη βάση (ή εντός της ίδιας ημέρας) υπολογίζονται σε καθαρή βάση, ακόμη και όταν οι εν λόγω συναλλαγές δεν καλύπτονται από διμερή συμφωνία συμψηφισμού.</w:t>
            </w:r>
          </w:p>
          <w:p w14:paraId="545BC0CB" w14:textId="5C31DEF7" w:rsidR="007453EC" w:rsidRPr="000B6B22" w:rsidRDefault="007453EC">
            <w:pPr>
              <w:spacing w:before="0"/>
              <w:rPr>
                <w:rFonts w:ascii="Times New Roman" w:hAnsi="Times New Roman"/>
                <w:bCs/>
                <w:sz w:val="24"/>
              </w:rPr>
            </w:pPr>
            <w:r>
              <w:rPr>
                <w:rFonts w:ascii="Times New Roman" w:hAnsi="Times New Roman"/>
                <w:sz w:val="24"/>
              </w:rPr>
              <w:t>Σε περίπτωση χωριστής υποβολής αναφορών σύμφωνα με το άρθρο 415 παράγραφος 2 του κανονισμού (ΕΕ) αριθ. 575/2013, οι συναλλαγές παραγώγων ή πιστωτικών παραγώγων χωρίζονται σε κάθε αντίστοιχο νόμισμα. Ο συμψηφισμός ανά αντισυμβαλλόμενο μπορεί να εφαρμοστεί μόνο σε ροές στο εν λόγω νόμισμα.</w:t>
            </w:r>
          </w:p>
        </w:tc>
      </w:tr>
      <w:tr w:rsidR="00B47B7D" w:rsidRPr="000B6B22" w14:paraId="1249D99D" w14:textId="77777777" w:rsidTr="00454544">
        <w:tc>
          <w:tcPr>
            <w:tcW w:w="756" w:type="dxa"/>
            <w:shd w:val="clear" w:color="auto" w:fill="auto"/>
            <w:vAlign w:val="center"/>
          </w:tcPr>
          <w:p w14:paraId="21EB3A40" w14:textId="069DF2AE" w:rsidR="007453EC" w:rsidRPr="000B6B22" w:rsidRDefault="00092BE3" w:rsidP="009D4EFF">
            <w:pPr>
              <w:spacing w:before="0"/>
              <w:rPr>
                <w:rFonts w:ascii="Times New Roman" w:hAnsi="Times New Roman"/>
                <w:sz w:val="24"/>
              </w:rPr>
            </w:pPr>
            <w:r>
              <w:rPr>
                <w:rFonts w:ascii="Times New Roman" w:hAnsi="Times New Roman"/>
                <w:sz w:val="24"/>
              </w:rPr>
              <w:lastRenderedPageBreak/>
              <w:t>0250</w:t>
            </w:r>
          </w:p>
        </w:tc>
        <w:tc>
          <w:tcPr>
            <w:tcW w:w="7540" w:type="dxa"/>
            <w:shd w:val="clear" w:color="auto" w:fill="auto"/>
            <w:vAlign w:val="center"/>
          </w:tcPr>
          <w:p w14:paraId="58265C20" w14:textId="00438872" w:rsidR="007453EC" w:rsidRPr="000B6B22" w:rsidRDefault="007453EC">
            <w:pPr>
              <w:spacing w:before="0"/>
              <w:rPr>
                <w:rFonts w:ascii="Times New Roman" w:hAnsi="Times New Roman"/>
                <w:b/>
                <w:bCs/>
                <w:sz w:val="24"/>
              </w:rPr>
            </w:pPr>
            <w:r>
              <w:rPr>
                <w:rFonts w:ascii="Times New Roman" w:hAnsi="Times New Roman"/>
                <w:b/>
                <w:sz w:val="24"/>
              </w:rPr>
              <w:t>1.1.10. εισροές από μη αναληφθείσες πιστωτικές και ταμειακές διευκολύνσεις που παρέχονται από τα μέλη ενός ομίλου ή θεσμικού συστήματος προστασίας σε περιπτώσεις που η αρμόδια αρχή έχει χορηγήσει άδεια εφαρμογής υψηλότερου ποσοστού εισροής</w:t>
            </w:r>
          </w:p>
          <w:p w14:paraId="52A91E47" w14:textId="6D4B12C6" w:rsidR="007453EC" w:rsidRPr="000B6B22" w:rsidRDefault="007453EC">
            <w:pPr>
              <w:spacing w:before="0"/>
              <w:rPr>
                <w:rFonts w:ascii="Times New Roman" w:hAnsi="Times New Roman"/>
                <w:bCs/>
                <w:sz w:val="24"/>
              </w:rPr>
            </w:pPr>
            <w:r>
              <w:rPr>
                <w:rFonts w:ascii="Times New Roman" w:hAnsi="Times New Roman"/>
                <w:sz w:val="24"/>
              </w:rPr>
              <w:t>Άρθρο 34 του κατ’ εξουσιοδότηση κανονισμού (ΕΕ) 2015/61</w:t>
            </w:r>
          </w:p>
          <w:p w14:paraId="3CFB5DCA" w14:textId="741C2B31" w:rsidR="007453EC" w:rsidRPr="000B6B22" w:rsidRDefault="007453EC">
            <w:pPr>
              <w:spacing w:before="0"/>
              <w:rPr>
                <w:rFonts w:ascii="Times New Roman" w:hAnsi="Times New Roman"/>
                <w:b/>
                <w:bCs/>
                <w:sz w:val="24"/>
              </w:rPr>
            </w:pPr>
            <w:r>
              <w:rPr>
                <w:rFonts w:ascii="Times New Roman" w:hAnsi="Times New Roman"/>
                <w:sz w:val="24"/>
              </w:rPr>
              <w:t>Εισροές από μη αναληφθείσες πιστωτικές διευκολύνσεις ή διευκολύνσεις ρευστότητας που παρέχονται από μέλη ομίλου ή θεσμικού συστήματος προστασίας, όταν η αρμόδια αρχή έχει επιτρέψει την εφαρμογή υψηλότερου ποσοστού εισροής σύμφωνα με το άρθρο 34 του κατ’ εξουσιοδότηση κανονισμού (ΕΕ) 2015/61.</w:t>
            </w:r>
          </w:p>
        </w:tc>
      </w:tr>
      <w:tr w:rsidR="00B47B7D" w:rsidRPr="000B6B22" w14:paraId="3C2AD705" w14:textId="77777777" w:rsidTr="00454544">
        <w:tc>
          <w:tcPr>
            <w:tcW w:w="756" w:type="dxa"/>
            <w:shd w:val="clear" w:color="auto" w:fill="auto"/>
            <w:vAlign w:val="center"/>
          </w:tcPr>
          <w:p w14:paraId="362E1D99" w14:textId="416B7953" w:rsidR="007453EC" w:rsidRPr="000B6B22" w:rsidRDefault="00092BE3" w:rsidP="009D4EFF">
            <w:pPr>
              <w:spacing w:before="0"/>
              <w:rPr>
                <w:rFonts w:ascii="Times New Roman" w:hAnsi="Times New Roman"/>
                <w:sz w:val="24"/>
              </w:rPr>
            </w:pPr>
            <w:r>
              <w:rPr>
                <w:rFonts w:ascii="Times New Roman" w:hAnsi="Times New Roman"/>
                <w:sz w:val="24"/>
              </w:rPr>
              <w:t>0260</w:t>
            </w:r>
          </w:p>
        </w:tc>
        <w:tc>
          <w:tcPr>
            <w:tcW w:w="7540" w:type="dxa"/>
            <w:shd w:val="clear" w:color="auto" w:fill="auto"/>
            <w:vAlign w:val="center"/>
          </w:tcPr>
          <w:p w14:paraId="22324DF3" w14:textId="39D6214E" w:rsidR="007453EC" w:rsidRPr="000B6B22" w:rsidRDefault="007453EC">
            <w:pPr>
              <w:spacing w:before="0"/>
              <w:rPr>
                <w:rFonts w:ascii="Times New Roman" w:hAnsi="Times New Roman"/>
                <w:b/>
                <w:bCs/>
                <w:sz w:val="24"/>
              </w:rPr>
            </w:pPr>
            <w:r>
              <w:rPr>
                <w:rFonts w:ascii="Times New Roman" w:hAnsi="Times New Roman"/>
                <w:b/>
                <w:sz w:val="24"/>
              </w:rPr>
              <w:t>1.1.11. λοιπές εισροές</w:t>
            </w:r>
          </w:p>
          <w:p w14:paraId="7EE5352C" w14:textId="77B1DAFA" w:rsidR="007453EC" w:rsidRPr="000B6B22" w:rsidRDefault="007453EC">
            <w:pPr>
              <w:spacing w:before="0"/>
              <w:rPr>
                <w:rFonts w:ascii="Times New Roman" w:hAnsi="Times New Roman"/>
                <w:bCs/>
                <w:sz w:val="24"/>
              </w:rPr>
            </w:pPr>
            <w:r>
              <w:rPr>
                <w:rFonts w:ascii="Times New Roman" w:hAnsi="Times New Roman"/>
                <w:sz w:val="24"/>
              </w:rPr>
              <w:t>Άρθρο 32 παράγραφος 2 του κατ’ εξουσιοδότηση κανονισμού (ΕΕ) 2015/61</w:t>
            </w:r>
          </w:p>
          <w:p w14:paraId="3A35C748" w14:textId="7D2AA379" w:rsidR="007453EC" w:rsidRPr="000B6B22" w:rsidRDefault="007453EC">
            <w:pPr>
              <w:spacing w:before="0"/>
              <w:rPr>
                <w:rFonts w:ascii="Times New Roman" w:hAnsi="Times New Roman"/>
                <w:b/>
                <w:bCs/>
                <w:sz w:val="24"/>
              </w:rPr>
            </w:pPr>
            <w:r>
              <w:rPr>
                <w:rFonts w:ascii="Times New Roman" w:hAnsi="Times New Roman"/>
                <w:sz w:val="24"/>
              </w:rPr>
              <w:t>Όλες οι άλλες εισροές σύμφωνα με το άρθρο 32 παράγραφος 2 του κατ’ εξουσιοδότηση κανονισμού (ΕΕ) 2015/61 που δεν αναφέρονται σε κανένα άλλο σημείο του υποδείγματος.</w:t>
            </w:r>
          </w:p>
        </w:tc>
      </w:tr>
      <w:tr w:rsidR="00B47B7D" w:rsidRPr="000B6B22" w14:paraId="64D4CCAC" w14:textId="77777777" w:rsidTr="00454544">
        <w:tc>
          <w:tcPr>
            <w:tcW w:w="756" w:type="dxa"/>
            <w:shd w:val="clear" w:color="auto" w:fill="auto"/>
            <w:vAlign w:val="center"/>
          </w:tcPr>
          <w:p w14:paraId="5287A7B1" w14:textId="5744EC08" w:rsidR="007453EC" w:rsidRPr="000B6B22" w:rsidRDefault="00092BE3" w:rsidP="009D4EFF">
            <w:pPr>
              <w:spacing w:before="0"/>
              <w:rPr>
                <w:rFonts w:ascii="Times New Roman" w:hAnsi="Times New Roman"/>
                <w:sz w:val="24"/>
              </w:rPr>
            </w:pPr>
            <w:r>
              <w:rPr>
                <w:rFonts w:ascii="Times New Roman" w:hAnsi="Times New Roman"/>
                <w:sz w:val="24"/>
              </w:rPr>
              <w:t>0263</w:t>
            </w:r>
          </w:p>
        </w:tc>
        <w:tc>
          <w:tcPr>
            <w:tcW w:w="7540" w:type="dxa"/>
            <w:shd w:val="clear" w:color="auto" w:fill="auto"/>
            <w:vAlign w:val="center"/>
          </w:tcPr>
          <w:p w14:paraId="39391914" w14:textId="77777777" w:rsidR="007453EC" w:rsidRPr="000B6B22" w:rsidRDefault="007453EC">
            <w:pPr>
              <w:spacing w:before="0"/>
              <w:rPr>
                <w:rFonts w:ascii="Times New Roman" w:hAnsi="Times New Roman"/>
                <w:b/>
                <w:bCs/>
                <w:sz w:val="24"/>
              </w:rPr>
            </w:pPr>
            <w:r>
              <w:rPr>
                <w:rFonts w:ascii="Times New Roman" w:hAnsi="Times New Roman"/>
                <w:b/>
                <w:sz w:val="24"/>
              </w:rPr>
              <w:t>1.2. Εισροές από εξασφαλισμένες πιστοδοτήσεις και από συναλλαγές με όρους κεφαλαιαγοράς</w:t>
            </w:r>
          </w:p>
          <w:p w14:paraId="5E83DDB2" w14:textId="520D0FDE" w:rsidR="007453EC" w:rsidRPr="000B6B22" w:rsidRDefault="000378A5">
            <w:pPr>
              <w:spacing w:before="0"/>
              <w:rPr>
                <w:rFonts w:ascii="Times New Roman" w:hAnsi="Times New Roman"/>
                <w:bCs/>
                <w:sz w:val="24"/>
              </w:rPr>
            </w:pPr>
            <w:r>
              <w:rPr>
                <w:rFonts w:ascii="Times New Roman" w:hAnsi="Times New Roman"/>
                <w:sz w:val="24"/>
              </w:rPr>
              <w:t>Το άρθρο 32 παράγραφος 3 στοιχεία β), γ) και στ) του κατ’ εξουσιοδότηση κανονισμού (ΕΕ) 2015/61 αφορά τις εισροές που προκύπτουν από εξασφαλισμένες πιστοδοτήσεις και από συναλλαγές με όρους κεφαλαιαγοράς με εναπομένουσα ληκτότητα που δεν υπερβαίνει τις 30 ημέρες.</w:t>
            </w:r>
          </w:p>
          <w:p w14:paraId="03DCCFCF" w14:textId="55757DE1" w:rsidR="007453EC" w:rsidRPr="000B6B22" w:rsidRDefault="007453EC">
            <w:pPr>
              <w:spacing w:before="0"/>
              <w:rPr>
                <w:rFonts w:ascii="Times New Roman" w:hAnsi="Times New Roman"/>
                <w:sz w:val="24"/>
              </w:rPr>
            </w:pPr>
            <w:r>
              <w:rPr>
                <w:rFonts w:ascii="Times New Roman" w:hAnsi="Times New Roman"/>
                <w:sz w:val="24"/>
              </w:rPr>
              <w:t>Τα πιστωτικά ιδρύματα αναφέρουν στη γραμμή 0263 του υποδείγματος C 74.00 του παραρτήματος XXIV</w:t>
            </w:r>
          </w:p>
          <w:p w14:paraId="491CD905" w14:textId="0B5F2E2C" w:rsidR="007453EC" w:rsidRPr="000B6B22" w:rsidRDefault="007453EC">
            <w:pPr>
              <w:spacing w:before="0"/>
              <w:ind w:left="720" w:hanging="360"/>
              <w:rPr>
                <w:rFonts w:ascii="Times New Roman" w:hAnsi="Times New Roman"/>
                <w:bCs/>
                <w:sz w:val="24"/>
              </w:rPr>
            </w:pPr>
            <w:r>
              <w:rPr>
                <w:rFonts w:ascii="Times New Roman" w:hAnsi="Times New Roman"/>
                <w:sz w:val="24"/>
              </w:rPr>
              <w:t></w:t>
            </w:r>
            <w:r>
              <w:tab/>
            </w:r>
            <w:r>
              <w:rPr>
                <w:rFonts w:ascii="Times New Roman" w:hAnsi="Times New Roman"/>
                <w:sz w:val="24"/>
              </w:rPr>
              <w:t>για κάθε μία από τις στήλες 0010, 0020 και 0030, το συνολικό ποσό των οφειλόμενων χρημάτων από εξασφαλισμένες πιστοδοτήσεις και από συναλλαγές με όρους κεφαλαιαγοράς· και</w:t>
            </w:r>
          </w:p>
          <w:p w14:paraId="72BE5DB8" w14:textId="5D7B0043" w:rsidR="007453EC" w:rsidRPr="000B6B22" w:rsidRDefault="007453EC">
            <w:pPr>
              <w:spacing w:before="0"/>
              <w:ind w:left="720" w:hanging="360"/>
              <w:rPr>
                <w:rFonts w:ascii="Times New Roman" w:hAnsi="Times New Roman"/>
                <w:bCs/>
                <w:sz w:val="24"/>
              </w:rPr>
            </w:pPr>
            <w:r>
              <w:rPr>
                <w:rFonts w:ascii="Times New Roman" w:hAnsi="Times New Roman"/>
                <w:sz w:val="24"/>
              </w:rPr>
              <w:t></w:t>
            </w:r>
            <w:r>
              <w:tab/>
            </w:r>
            <w:r>
              <w:rPr>
                <w:rFonts w:ascii="Times New Roman" w:hAnsi="Times New Roman"/>
                <w:sz w:val="24"/>
              </w:rPr>
              <w:t>για κάθε μία από τις στήλες 0140, 0150 και 0160, τις συνολικές εισροές από εξασφαλισμένες πιστοδοτήσεις και από συναλλαγές με όρους κεφαλαιαγοράς.</w:t>
            </w:r>
          </w:p>
          <w:p w14:paraId="7B541C76" w14:textId="778E3A36" w:rsidR="007453EC" w:rsidRPr="000B6B22" w:rsidRDefault="007453EC">
            <w:pPr>
              <w:spacing w:before="0"/>
              <w:rPr>
                <w:rFonts w:ascii="Times New Roman" w:hAnsi="Times New Roman"/>
                <w:bCs/>
                <w:sz w:val="24"/>
              </w:rPr>
            </w:pPr>
            <w:r>
              <w:rPr>
                <w:rFonts w:ascii="Times New Roman" w:hAnsi="Times New Roman"/>
                <w:sz w:val="24"/>
              </w:rPr>
              <w:t>Οι πράξεις ανταλλαγής εξασφαλίσεων που λήγουν εντός 30 ημερολογιακών ημερών αναφέρονται στο υπόδειγμα C 75.01 του παραρτήματος XXIV και δεν αναφέρονται εδώ.</w:t>
            </w:r>
          </w:p>
        </w:tc>
      </w:tr>
      <w:tr w:rsidR="00B47B7D" w:rsidRPr="000B6B22" w14:paraId="01CA0548" w14:textId="77777777" w:rsidTr="00454544">
        <w:tc>
          <w:tcPr>
            <w:tcW w:w="756" w:type="dxa"/>
            <w:shd w:val="clear" w:color="auto" w:fill="auto"/>
            <w:vAlign w:val="center"/>
          </w:tcPr>
          <w:p w14:paraId="52BCD01B" w14:textId="1ABF5B48" w:rsidR="007453EC" w:rsidRPr="000B6B22" w:rsidRDefault="00092BE3" w:rsidP="009D4EFF">
            <w:pPr>
              <w:spacing w:before="0"/>
              <w:rPr>
                <w:rFonts w:ascii="Times New Roman" w:hAnsi="Times New Roman"/>
                <w:sz w:val="24"/>
              </w:rPr>
            </w:pPr>
            <w:r>
              <w:rPr>
                <w:rFonts w:ascii="Times New Roman" w:hAnsi="Times New Roman"/>
                <w:sz w:val="24"/>
              </w:rPr>
              <w:t>0265</w:t>
            </w:r>
          </w:p>
        </w:tc>
        <w:tc>
          <w:tcPr>
            <w:tcW w:w="7540" w:type="dxa"/>
            <w:shd w:val="clear" w:color="auto" w:fill="auto"/>
            <w:vAlign w:val="center"/>
          </w:tcPr>
          <w:p w14:paraId="30886BAF" w14:textId="77777777" w:rsidR="007453EC" w:rsidRPr="000B6B22" w:rsidRDefault="007453EC">
            <w:pPr>
              <w:spacing w:before="0"/>
              <w:rPr>
                <w:rFonts w:ascii="Times New Roman" w:hAnsi="Times New Roman"/>
                <w:b/>
                <w:bCs/>
                <w:sz w:val="24"/>
              </w:rPr>
            </w:pPr>
            <w:r>
              <w:rPr>
                <w:rFonts w:ascii="Times New Roman" w:hAnsi="Times New Roman"/>
                <w:b/>
                <w:sz w:val="24"/>
              </w:rPr>
              <w:t>1.2.1. ο αντισυμβαλλόμενος είναι κεντρική τράπεζα</w:t>
            </w:r>
          </w:p>
          <w:p w14:paraId="7C97E42C" w14:textId="77777777" w:rsidR="007453EC" w:rsidRPr="000B6B22" w:rsidRDefault="007453EC">
            <w:pPr>
              <w:spacing w:before="0"/>
              <w:rPr>
                <w:rFonts w:ascii="Times New Roman" w:hAnsi="Times New Roman"/>
                <w:sz w:val="24"/>
              </w:rPr>
            </w:pPr>
            <w:r>
              <w:rPr>
                <w:rFonts w:ascii="Times New Roman" w:hAnsi="Times New Roman"/>
                <w:sz w:val="24"/>
              </w:rPr>
              <w:lastRenderedPageBreak/>
              <w:t>Τα πιστωτικά ιδρύματα αναφέρουν εδώ εισροές που προκύπτουν από εξασφαλισμένες πιστοδοτήσεις και από συναλλαγές με όρους κεφαλαιαγοράς, όπως ορίζονται στο άρθρο 192 σημεία 2) και 3) του κανονισμού (ΕΕ) αριθ. 575/2013, με εναπομένουσα ληκτότητα που δεν υπερβαίνει τις 30 ημέρες, όταν ο αντισυμβαλλόμενος είναι κεντρική τράπεζα.</w:t>
            </w:r>
          </w:p>
          <w:p w14:paraId="6A1976C0" w14:textId="176AFAF4" w:rsidR="007453EC" w:rsidRPr="000B6B22" w:rsidRDefault="007453EC">
            <w:pPr>
              <w:spacing w:before="0"/>
              <w:rPr>
                <w:rFonts w:ascii="Times New Roman" w:hAnsi="Times New Roman"/>
                <w:sz w:val="24"/>
              </w:rPr>
            </w:pPr>
            <w:r>
              <w:rPr>
                <w:rFonts w:ascii="Times New Roman" w:hAnsi="Times New Roman"/>
                <w:sz w:val="24"/>
              </w:rPr>
              <w:t>Τα πιστωτικά ιδρύματα αναφέρουν στη γραμμή 0265 του υποδείγματος C 74.00 του παραρτήματος XXIV</w:t>
            </w:r>
          </w:p>
          <w:p w14:paraId="6DED8CDF" w14:textId="52C5DF9B" w:rsidR="007453EC" w:rsidRPr="000B6B22" w:rsidRDefault="007453EC">
            <w:pPr>
              <w:spacing w:before="0"/>
              <w:ind w:left="720" w:hanging="360"/>
              <w:rPr>
                <w:rFonts w:ascii="Times New Roman" w:hAnsi="Times New Roman"/>
                <w:bCs/>
                <w:sz w:val="24"/>
              </w:rPr>
            </w:pPr>
            <w:r>
              <w:rPr>
                <w:rFonts w:ascii="Times New Roman" w:hAnsi="Times New Roman"/>
                <w:sz w:val="24"/>
              </w:rPr>
              <w:t></w:t>
            </w:r>
            <w:r>
              <w:tab/>
            </w:r>
            <w:r>
              <w:rPr>
                <w:rFonts w:ascii="Times New Roman" w:hAnsi="Times New Roman"/>
                <w:sz w:val="24"/>
              </w:rPr>
              <w:t>για κάθε μία από τις στήλες 0010, 0020 και 0030, το συνολικό ποσό των οφειλόμενων χρημάτων από εξασφαλισμένες πιστοδοτήσεις και από συναλλαγές με όρους κεφαλαιαγοράς, όταν ο αντισυμβαλλόμενος είναι κεντρική τράπεζα· και</w:t>
            </w:r>
          </w:p>
          <w:p w14:paraId="4D424125" w14:textId="0C203246" w:rsidR="007453EC" w:rsidRPr="000B6B22" w:rsidRDefault="007453EC">
            <w:pPr>
              <w:spacing w:before="0"/>
              <w:ind w:left="720" w:hanging="360"/>
              <w:rPr>
                <w:rFonts w:ascii="Times New Roman" w:hAnsi="Times New Roman"/>
                <w:bCs/>
                <w:sz w:val="24"/>
              </w:rPr>
            </w:pPr>
            <w:r>
              <w:rPr>
                <w:rFonts w:ascii="Times New Roman" w:hAnsi="Times New Roman"/>
                <w:sz w:val="24"/>
              </w:rPr>
              <w:t></w:t>
            </w:r>
            <w:r>
              <w:tab/>
            </w:r>
            <w:r>
              <w:rPr>
                <w:rFonts w:ascii="Times New Roman" w:hAnsi="Times New Roman"/>
                <w:sz w:val="24"/>
              </w:rPr>
              <w:t>για κάθε μία από τις στήλες 0140, 0150 και 0160, τις συνολικές εισροές από εξασφαλισμένες πιστοδοτήσεις και από συναλλαγές με όρους κεφαλαιαγοράς, όταν ο αντισυμβαλλόμενος είναι κεντρική τράπεζα.</w:t>
            </w:r>
          </w:p>
        </w:tc>
      </w:tr>
      <w:tr w:rsidR="00B47B7D" w:rsidRPr="000B6B22" w14:paraId="0C18B44D" w14:textId="77777777" w:rsidTr="00454544">
        <w:tc>
          <w:tcPr>
            <w:tcW w:w="756" w:type="dxa"/>
            <w:shd w:val="clear" w:color="auto" w:fill="auto"/>
            <w:vAlign w:val="center"/>
          </w:tcPr>
          <w:p w14:paraId="3E3950A8" w14:textId="603A9CE2" w:rsidR="007453EC" w:rsidRPr="000B6B22" w:rsidRDefault="00092BE3" w:rsidP="009D4EFF">
            <w:pPr>
              <w:spacing w:before="0"/>
              <w:rPr>
                <w:rFonts w:ascii="Times New Roman" w:hAnsi="Times New Roman"/>
                <w:sz w:val="24"/>
              </w:rPr>
            </w:pPr>
            <w:r>
              <w:rPr>
                <w:rFonts w:ascii="Times New Roman" w:hAnsi="Times New Roman"/>
                <w:sz w:val="24"/>
              </w:rPr>
              <w:lastRenderedPageBreak/>
              <w:t>0267</w:t>
            </w:r>
          </w:p>
        </w:tc>
        <w:tc>
          <w:tcPr>
            <w:tcW w:w="7540" w:type="dxa"/>
            <w:shd w:val="clear" w:color="auto" w:fill="auto"/>
            <w:vAlign w:val="center"/>
          </w:tcPr>
          <w:p w14:paraId="37D80B09" w14:textId="77777777" w:rsidR="007453EC" w:rsidRPr="000B6B22" w:rsidRDefault="007453EC">
            <w:pPr>
              <w:spacing w:before="0"/>
              <w:rPr>
                <w:rFonts w:ascii="Times New Roman" w:hAnsi="Times New Roman"/>
                <w:b/>
                <w:bCs/>
                <w:sz w:val="24"/>
              </w:rPr>
            </w:pPr>
            <w:r>
              <w:rPr>
                <w:rFonts w:ascii="Times New Roman" w:hAnsi="Times New Roman"/>
                <w:b/>
                <w:sz w:val="24"/>
              </w:rPr>
              <w:t>1.2.1.1. εξασφαλίσεις που χαρακτηρίζονται ως ρευστά στοιχεία ενεργητικού</w:t>
            </w:r>
          </w:p>
          <w:p w14:paraId="762C261E" w14:textId="7E2A30CA" w:rsidR="007453EC" w:rsidRPr="000B6B22" w:rsidRDefault="007453EC">
            <w:pPr>
              <w:spacing w:before="0"/>
              <w:rPr>
                <w:rFonts w:ascii="Times New Roman" w:hAnsi="Times New Roman"/>
                <w:sz w:val="24"/>
              </w:rPr>
            </w:pPr>
            <w:r>
              <w:rPr>
                <w:rFonts w:ascii="Times New Roman" w:hAnsi="Times New Roman"/>
                <w:sz w:val="24"/>
              </w:rPr>
              <w:t>Τα πιστωτικά ιδρύματα αναφέρουν στη γραμμή 0267 του υποδείγματος C 74.00 του παραρτήματος XXIV</w:t>
            </w:r>
          </w:p>
          <w:p w14:paraId="16BF428A" w14:textId="4A356FA9" w:rsidR="007453EC" w:rsidRPr="000B6B22" w:rsidRDefault="007453EC">
            <w:pPr>
              <w:spacing w:before="0"/>
              <w:ind w:left="720" w:hanging="360"/>
              <w:rPr>
                <w:rFonts w:ascii="Times New Roman" w:hAnsi="Times New Roman"/>
                <w:sz w:val="24"/>
              </w:rPr>
            </w:pPr>
            <w:r>
              <w:rPr>
                <w:rFonts w:ascii="Times New Roman" w:hAnsi="Times New Roman"/>
                <w:sz w:val="24"/>
              </w:rPr>
              <w:t></w:t>
            </w:r>
            <w:r>
              <w:tab/>
            </w:r>
            <w:r>
              <w:rPr>
                <w:rFonts w:ascii="Times New Roman" w:hAnsi="Times New Roman"/>
                <w:sz w:val="24"/>
              </w:rPr>
              <w:t>για κάθε μία από τις στήλες 0010, 0020 και 0030, το συνολικό ποσό των οφειλόμενων χρημάτων από εξασφαλισμένες πιστοδοτήσεις και από συναλλαγές με όρους κεφαλαιαγοράς με εναπομένουσα ληκτότητα που δεν υπερβαίνει τις 30 ημέρες, όταν ο αντισυμβαλλόμενος είναι κεντρική τράπεζα και όταν η συναλλαγή εξασφαλίζεται με ρευστά στοιχεία ενεργητικού· και</w:t>
            </w:r>
          </w:p>
          <w:p w14:paraId="42686281" w14:textId="7F098420" w:rsidR="007453EC" w:rsidRPr="000B6B22" w:rsidRDefault="007453EC">
            <w:pPr>
              <w:numPr>
                <w:ilvl w:val="0"/>
                <w:numId w:val="40"/>
              </w:numPr>
              <w:spacing w:before="0"/>
              <w:rPr>
                <w:rFonts w:ascii="Times New Roman" w:hAnsi="Times New Roman"/>
                <w:bCs/>
                <w:sz w:val="24"/>
              </w:rPr>
            </w:pPr>
            <w:r>
              <w:rPr>
                <w:rFonts w:ascii="Times New Roman" w:hAnsi="Times New Roman"/>
                <w:sz w:val="24"/>
              </w:rPr>
              <w:t>για κάθε μία από τις στήλες 0140, 0150 και 0160, τις συνολικές εισροές από εξασφαλισμένες πιστοδοτήσεις και από συναλλαγές με όρους κεφαλαιαγοράς με εναπομένουσα ληκτότητα που δεν υπερβαίνει τις 30 ημέρες, όταν ο αντισυμβαλλόμενος είναι κεντρική τράπεζα και όταν η συναλλαγή εξασφαλίζεται με ρευστά στοιχεία ενεργητικού.</w:t>
            </w:r>
          </w:p>
          <w:p w14:paraId="3997B572" w14:textId="2E3B537A" w:rsidR="007453EC" w:rsidRPr="000B6B22" w:rsidRDefault="007453EC">
            <w:pPr>
              <w:spacing w:before="0"/>
              <w:rPr>
                <w:rFonts w:ascii="Times New Roman" w:hAnsi="Times New Roman"/>
                <w:bCs/>
                <w:sz w:val="24"/>
              </w:rPr>
            </w:pPr>
            <w:r>
              <w:rPr>
                <w:rFonts w:ascii="Times New Roman" w:hAnsi="Times New Roman"/>
                <w:sz w:val="24"/>
              </w:rPr>
              <w:t>Τα πιστωτικά ιδρύματα αναφέρουν τις εξασφαλισμένες πιστοδοτήσεις και συναλλαγές με όρους κεφαλαιαγοράς με εναπομένουσα ληκτότητα που δεν υπερβαίνει τις 30 ημέρες, όταν ο αντισυμβαλλόμενος είναι κεντρική τράπεζα και όταν η συναλλαγή εξασφαλίζεται με ρευστά στοιχεία ενεργητικού, ανεξάρτητα από το εάν τα εν λόγω στοιχεία ενεργητικού χρησιμοποιούνται εκ νέου σε άλλη συναλλαγή και ανεξάρτητα από το εάν τα ρευστά στοιχεία ενεργητικού που λαμβάνονται πληρούν τις λειτουργικές απαιτήσεις του άρθρου 8 του κατ’ εξουσιοδότηση κανονισμού (ΕΕ) 2015/61.</w:t>
            </w:r>
          </w:p>
        </w:tc>
      </w:tr>
      <w:tr w:rsidR="00B47B7D" w:rsidRPr="000B6B22" w14:paraId="4466FA21" w14:textId="77777777" w:rsidTr="00454544">
        <w:tc>
          <w:tcPr>
            <w:tcW w:w="756" w:type="dxa"/>
            <w:shd w:val="clear" w:color="auto" w:fill="auto"/>
            <w:vAlign w:val="center"/>
          </w:tcPr>
          <w:p w14:paraId="2AC9B84E" w14:textId="22FF7E54" w:rsidR="007453EC" w:rsidRPr="000B6B22" w:rsidRDefault="00DF552C" w:rsidP="009D4EFF">
            <w:pPr>
              <w:spacing w:before="0"/>
              <w:rPr>
                <w:rFonts w:ascii="Times New Roman" w:hAnsi="Times New Roman"/>
                <w:sz w:val="24"/>
              </w:rPr>
            </w:pPr>
            <w:r>
              <w:rPr>
                <w:rFonts w:ascii="Times New Roman" w:hAnsi="Times New Roman"/>
                <w:sz w:val="24"/>
              </w:rPr>
              <w:t>0269</w:t>
            </w:r>
          </w:p>
        </w:tc>
        <w:tc>
          <w:tcPr>
            <w:tcW w:w="7540" w:type="dxa"/>
            <w:shd w:val="clear" w:color="auto" w:fill="auto"/>
            <w:vAlign w:val="center"/>
          </w:tcPr>
          <w:p w14:paraId="17B04302" w14:textId="77777777" w:rsidR="007453EC" w:rsidRPr="000B6B22" w:rsidRDefault="007453EC">
            <w:pPr>
              <w:spacing w:before="0"/>
              <w:rPr>
                <w:rFonts w:ascii="Times New Roman" w:hAnsi="Times New Roman"/>
                <w:b/>
                <w:bCs/>
                <w:sz w:val="24"/>
              </w:rPr>
            </w:pPr>
            <w:r>
              <w:rPr>
                <w:rFonts w:ascii="Times New Roman" w:hAnsi="Times New Roman"/>
                <w:b/>
                <w:sz w:val="24"/>
              </w:rPr>
              <w:t>1.2.1.1.1. εξασφαλίσεις επιπέδου 1, εξαιρουμένων των εξαιρετικά υψηλής ποιότητας καλυμμένων ομολόγων</w:t>
            </w:r>
          </w:p>
          <w:p w14:paraId="60075FD1" w14:textId="166CA80F" w:rsidR="007453EC" w:rsidRPr="000B6B22" w:rsidRDefault="000378A5">
            <w:pPr>
              <w:spacing w:before="0"/>
              <w:rPr>
                <w:rFonts w:ascii="Times New Roman" w:hAnsi="Times New Roman"/>
                <w:bCs/>
                <w:sz w:val="24"/>
              </w:rPr>
            </w:pPr>
            <w:r>
              <w:rPr>
                <w:rFonts w:ascii="Times New Roman" w:hAnsi="Times New Roman"/>
                <w:sz w:val="24"/>
              </w:rPr>
              <w:t>Άρθρο 32 παράγραφος 3 στοιχείο β) του κατ’ εξουσιοδότηση κανονισμού (ΕΕ) 2015/61</w:t>
            </w:r>
          </w:p>
          <w:p w14:paraId="15F3C8B1" w14:textId="6177F8AD" w:rsidR="007453EC" w:rsidRPr="000B6B22" w:rsidRDefault="007453EC">
            <w:pPr>
              <w:spacing w:before="0"/>
              <w:rPr>
                <w:rFonts w:ascii="Times New Roman" w:hAnsi="Times New Roman"/>
                <w:bCs/>
                <w:sz w:val="24"/>
              </w:rPr>
            </w:pPr>
            <w:r>
              <w:rPr>
                <w:rFonts w:ascii="Times New Roman" w:hAnsi="Times New Roman"/>
                <w:sz w:val="24"/>
              </w:rPr>
              <w:lastRenderedPageBreak/>
              <w:t>Εξασφαλισμένες πιστοδοτήσεις και συναλλαγές με όρους κεφαλαιαγοράς με εναπομένουσα ληκτότητα που δεν υπερβαίνει τις 30 ημέρες, όταν ο αντισυμβαλλόμενος είναι κεντρική τράπεζα και όταν η συναλλαγή εξασφαλίζεται με στοιχεία ενεργητικού τα οποία, ανεξάρτητα από το εάν χρησιμοποιούνται εκ νέου σε άλλη συναλλαγή, θα μπορούσαν να χαρακτηριστούν βάσει των άρθρων 7 και 10 του κατ’ εξουσιοδότηση κανονισμού (ΕΕ) 2015/61 ως ρευστά στοιχεία ενεργητικού οποιασδήποτε από τις κατηγορίες στοιχείων ενεργητικού επιπέδου 1 που αναφέρονται στο άρθρο 10, με εξαίρεση τα εξαιρετικά υψηλής ποιότητας καλυμμένα ομόλογα που αναφέρονται στο άρθρο 10 παράγραφος 1 στοιχείο στ).</w:t>
            </w:r>
          </w:p>
        </w:tc>
      </w:tr>
      <w:tr w:rsidR="00B47B7D" w:rsidRPr="000B6B22" w14:paraId="247E0ED5" w14:textId="77777777" w:rsidTr="00454544">
        <w:tc>
          <w:tcPr>
            <w:tcW w:w="756" w:type="dxa"/>
            <w:shd w:val="clear" w:color="auto" w:fill="auto"/>
            <w:vAlign w:val="center"/>
          </w:tcPr>
          <w:p w14:paraId="3D9696EF" w14:textId="43A97839" w:rsidR="007453EC" w:rsidRPr="000B6B22" w:rsidRDefault="00DF552C" w:rsidP="009D4EFF">
            <w:pPr>
              <w:spacing w:before="0"/>
              <w:rPr>
                <w:rFonts w:ascii="Times New Roman" w:hAnsi="Times New Roman"/>
                <w:sz w:val="24"/>
              </w:rPr>
            </w:pPr>
            <w:r>
              <w:rPr>
                <w:rFonts w:ascii="Times New Roman" w:hAnsi="Times New Roman"/>
                <w:sz w:val="24"/>
              </w:rPr>
              <w:lastRenderedPageBreak/>
              <w:t>0271</w:t>
            </w:r>
          </w:p>
        </w:tc>
        <w:tc>
          <w:tcPr>
            <w:tcW w:w="7540" w:type="dxa"/>
            <w:shd w:val="clear" w:color="auto" w:fill="auto"/>
            <w:vAlign w:val="center"/>
          </w:tcPr>
          <w:p w14:paraId="55292B96" w14:textId="77777777" w:rsidR="007453EC" w:rsidRPr="000B6B22" w:rsidRDefault="007453EC">
            <w:pPr>
              <w:spacing w:before="0"/>
              <w:rPr>
                <w:rFonts w:ascii="Times New Roman" w:hAnsi="Times New Roman"/>
                <w:b/>
                <w:bCs/>
                <w:sz w:val="24"/>
              </w:rPr>
            </w:pPr>
            <w:r>
              <w:rPr>
                <w:rFonts w:ascii="Times New Roman" w:hAnsi="Times New Roman"/>
                <w:b/>
                <w:sz w:val="24"/>
              </w:rPr>
              <w:t>1.2.1.1.1.1.</w:t>
            </w:r>
            <w:r>
              <w:rPr>
                <w:rFonts w:ascii="Times New Roman" w:hAnsi="Times New Roman"/>
                <w:sz w:val="24"/>
              </w:rPr>
              <w:t xml:space="preserve"> </w:t>
            </w:r>
            <w:r>
              <w:rPr>
                <w:rFonts w:ascii="Times New Roman" w:hAnsi="Times New Roman"/>
                <w:b/>
                <w:sz w:val="24"/>
              </w:rPr>
              <w:t>των οποίων οι ληφθείσες εξασφαλίσεις πληρούν τις λειτουργικές απαιτήσεις</w:t>
            </w:r>
          </w:p>
          <w:p w14:paraId="2779EE63" w14:textId="5CDC213C" w:rsidR="007453EC" w:rsidRPr="000B6B22" w:rsidRDefault="000378A5">
            <w:pPr>
              <w:spacing w:before="0"/>
              <w:rPr>
                <w:rFonts w:ascii="Times New Roman" w:hAnsi="Times New Roman"/>
                <w:bCs/>
                <w:sz w:val="24"/>
              </w:rPr>
            </w:pPr>
            <w:r>
              <w:rPr>
                <w:rFonts w:ascii="Times New Roman" w:hAnsi="Times New Roman"/>
                <w:sz w:val="24"/>
              </w:rPr>
              <w:t>Άρθρο 32 παράγραφος 3 στοιχείο β) του κατ’ εξουσιοδότηση κανονισμού (ΕΕ) 2015/61</w:t>
            </w:r>
          </w:p>
          <w:p w14:paraId="0BBB1E17" w14:textId="03F3E426" w:rsidR="007453EC" w:rsidRPr="000B6B22" w:rsidRDefault="007453EC">
            <w:pPr>
              <w:spacing w:before="0"/>
              <w:rPr>
                <w:rFonts w:ascii="Times New Roman" w:hAnsi="Times New Roman"/>
                <w:sz w:val="24"/>
              </w:rPr>
            </w:pPr>
            <w:r>
              <w:rPr>
                <w:rFonts w:ascii="Times New Roman" w:hAnsi="Times New Roman"/>
                <w:sz w:val="24"/>
              </w:rPr>
              <w:t>Από τις συναλλαγές που αναφέρονται στο σημείο 1.2.1.1.1, εκείνες οι συναλλαγές των οποίων οι ληφθείσες εξασφαλίσεις πληρούν τις λειτουργικές απαιτήσεις του άρθρου 8 του κατ’ εξουσιοδότηση κανονισμού (ΕΕ) 2015/61.</w:t>
            </w:r>
          </w:p>
        </w:tc>
      </w:tr>
      <w:tr w:rsidR="00B47B7D" w:rsidRPr="000B6B22" w14:paraId="267DC975" w14:textId="77777777" w:rsidTr="00454544">
        <w:tc>
          <w:tcPr>
            <w:tcW w:w="756" w:type="dxa"/>
            <w:shd w:val="clear" w:color="auto" w:fill="auto"/>
            <w:vAlign w:val="center"/>
          </w:tcPr>
          <w:p w14:paraId="130BB6E1" w14:textId="3CCABB45" w:rsidR="007453EC" w:rsidRPr="000B6B22" w:rsidRDefault="00DF552C" w:rsidP="009D4EFF">
            <w:pPr>
              <w:spacing w:before="0"/>
              <w:rPr>
                <w:rFonts w:ascii="Times New Roman" w:hAnsi="Times New Roman"/>
                <w:sz w:val="24"/>
              </w:rPr>
            </w:pPr>
            <w:r>
              <w:rPr>
                <w:rFonts w:ascii="Times New Roman" w:hAnsi="Times New Roman"/>
                <w:sz w:val="24"/>
              </w:rPr>
              <w:t>0273</w:t>
            </w:r>
          </w:p>
        </w:tc>
        <w:tc>
          <w:tcPr>
            <w:tcW w:w="7540" w:type="dxa"/>
            <w:shd w:val="clear" w:color="auto" w:fill="auto"/>
            <w:vAlign w:val="center"/>
          </w:tcPr>
          <w:p w14:paraId="4373A3BD" w14:textId="77777777" w:rsidR="007453EC" w:rsidRPr="000B6B22" w:rsidRDefault="007453EC">
            <w:pPr>
              <w:spacing w:before="0"/>
              <w:rPr>
                <w:rFonts w:ascii="Times New Roman" w:hAnsi="Times New Roman"/>
                <w:b/>
                <w:bCs/>
                <w:sz w:val="24"/>
              </w:rPr>
            </w:pPr>
            <w:r>
              <w:rPr>
                <w:rFonts w:ascii="Times New Roman" w:hAnsi="Times New Roman"/>
                <w:b/>
                <w:sz w:val="24"/>
              </w:rPr>
              <w:t>1.2.1.1.2. Εξασφαλίσεις επιπέδου 1 με εξαιρετικά υψηλής ποιότητας καλυμμένα ομόλογα</w:t>
            </w:r>
          </w:p>
          <w:p w14:paraId="465D66DF" w14:textId="73CF7738" w:rsidR="007453EC" w:rsidRPr="000B6B22" w:rsidRDefault="000378A5">
            <w:pPr>
              <w:spacing w:before="0"/>
              <w:rPr>
                <w:rFonts w:ascii="Times New Roman" w:hAnsi="Times New Roman"/>
                <w:bCs/>
                <w:sz w:val="24"/>
              </w:rPr>
            </w:pPr>
            <w:r>
              <w:rPr>
                <w:rFonts w:ascii="Times New Roman" w:hAnsi="Times New Roman"/>
                <w:sz w:val="24"/>
              </w:rPr>
              <w:t>Άρθρο 32 παράγραφος 3 στοιχείο β) του κατ’ εξουσιοδότηση κανονισμού (ΕΕ) 2015/61</w:t>
            </w:r>
          </w:p>
          <w:p w14:paraId="0840515B" w14:textId="791D94C1" w:rsidR="007453EC" w:rsidRPr="000B6B22" w:rsidRDefault="007453EC">
            <w:pPr>
              <w:spacing w:before="0"/>
              <w:rPr>
                <w:rFonts w:ascii="Times New Roman" w:hAnsi="Times New Roman"/>
                <w:bCs/>
                <w:sz w:val="24"/>
              </w:rPr>
            </w:pPr>
            <w:r>
              <w:rPr>
                <w:rFonts w:ascii="Times New Roman" w:hAnsi="Times New Roman"/>
                <w:sz w:val="24"/>
              </w:rPr>
              <w:t>Εξασφαλισμένες πιστοδοτήσεις και συναλλαγές με όρους κεφαλαιαγοράς με εναπομένουσα ληκτότητα που δεν υπερβαίνει τις 30 ημέρες, όταν ο αντισυμβαλλόμενος είναι κεντρική τράπεζα και όταν η συναλλαγή εξασφαλίζεται με στοιχεία ενεργητικού τα οποία, ανεξάρτητα από το εάν χρησιμοποιούνται εκ νέου σε άλλη συναλλαγή, θα μπορούσαν να χαρακτηριστούν βάσει των άρθρων 7 και 10 του κατ’ εξουσιοδότηση κανονισμού (ΕΕ) 2015/61 ως ρευστά στοιχεία ενεργητικού της κατηγορίας που αναφέρεται στο άρθρο 10 παράγραφος 1 στοιχείο στ).</w:t>
            </w:r>
          </w:p>
        </w:tc>
      </w:tr>
      <w:tr w:rsidR="00B47B7D" w:rsidRPr="000B6B22" w14:paraId="63121C64" w14:textId="77777777" w:rsidTr="00454544">
        <w:tc>
          <w:tcPr>
            <w:tcW w:w="756" w:type="dxa"/>
            <w:shd w:val="clear" w:color="auto" w:fill="auto"/>
            <w:vAlign w:val="center"/>
          </w:tcPr>
          <w:p w14:paraId="42A6463A" w14:textId="38267F6D" w:rsidR="007453EC" w:rsidRPr="000B6B22" w:rsidRDefault="00DF552C" w:rsidP="009D4EFF">
            <w:pPr>
              <w:spacing w:before="0"/>
              <w:rPr>
                <w:rFonts w:ascii="Times New Roman" w:hAnsi="Times New Roman"/>
                <w:sz w:val="24"/>
              </w:rPr>
            </w:pPr>
            <w:r>
              <w:rPr>
                <w:rFonts w:ascii="Times New Roman" w:hAnsi="Times New Roman"/>
                <w:sz w:val="24"/>
              </w:rPr>
              <w:t>0275</w:t>
            </w:r>
          </w:p>
        </w:tc>
        <w:tc>
          <w:tcPr>
            <w:tcW w:w="7540" w:type="dxa"/>
            <w:shd w:val="clear" w:color="auto" w:fill="auto"/>
            <w:vAlign w:val="center"/>
          </w:tcPr>
          <w:p w14:paraId="7FE0E5CD" w14:textId="77777777" w:rsidR="007453EC" w:rsidRPr="000B6B22" w:rsidRDefault="007453EC">
            <w:pPr>
              <w:spacing w:before="0"/>
              <w:rPr>
                <w:rFonts w:ascii="Times New Roman" w:hAnsi="Times New Roman"/>
                <w:b/>
                <w:bCs/>
                <w:sz w:val="24"/>
              </w:rPr>
            </w:pPr>
            <w:r>
              <w:rPr>
                <w:rFonts w:ascii="Times New Roman" w:hAnsi="Times New Roman"/>
                <w:b/>
                <w:sz w:val="24"/>
              </w:rPr>
              <w:t>1.2.1.1.2.1.</w:t>
            </w:r>
            <w:r>
              <w:rPr>
                <w:rFonts w:ascii="Times New Roman" w:hAnsi="Times New Roman"/>
                <w:sz w:val="24"/>
              </w:rPr>
              <w:t xml:space="preserve"> </w:t>
            </w:r>
            <w:r>
              <w:rPr>
                <w:rFonts w:ascii="Times New Roman" w:hAnsi="Times New Roman"/>
                <w:b/>
                <w:sz w:val="24"/>
              </w:rPr>
              <w:t>των οποίων οι ληφθείσες εξασφαλίσεις πληρούν τις λειτουργικές απαιτήσεις</w:t>
            </w:r>
          </w:p>
          <w:p w14:paraId="71DCD54B" w14:textId="0ABC7D7D" w:rsidR="007453EC" w:rsidRPr="000B6B22" w:rsidRDefault="000378A5">
            <w:pPr>
              <w:spacing w:before="0"/>
              <w:rPr>
                <w:rFonts w:ascii="Times New Roman" w:hAnsi="Times New Roman"/>
                <w:bCs/>
                <w:sz w:val="24"/>
              </w:rPr>
            </w:pPr>
            <w:r>
              <w:rPr>
                <w:rFonts w:ascii="Times New Roman" w:hAnsi="Times New Roman"/>
                <w:sz w:val="24"/>
              </w:rPr>
              <w:t>Άρθρο 32 παράγραφος 3 στοιχείο β) του κατ’ εξουσιοδότηση κανονισμού (ΕΕ) 2015/61</w:t>
            </w:r>
          </w:p>
          <w:p w14:paraId="3FEF86C5" w14:textId="7C26E5F8" w:rsidR="007453EC" w:rsidRPr="000B6B22" w:rsidRDefault="007453EC">
            <w:pPr>
              <w:spacing w:before="0"/>
              <w:rPr>
                <w:rFonts w:ascii="Times New Roman" w:hAnsi="Times New Roman"/>
                <w:bCs/>
                <w:sz w:val="24"/>
              </w:rPr>
            </w:pPr>
            <w:r>
              <w:rPr>
                <w:rFonts w:ascii="Times New Roman" w:hAnsi="Times New Roman"/>
                <w:sz w:val="24"/>
              </w:rPr>
              <w:t>Από τις συναλλαγές που αναφέρονται στο σημείο 1.2.1.1.2, εκείνες οι συναλλαγές των οποίων οι ληφθείσες εξασφαλίσεις πληρούν τις λειτουργικές απαιτήσεις του άρθρου 8 του κατ’ εξουσιοδότηση κανονισμού (ΕΕ) 2015/61.</w:t>
            </w:r>
          </w:p>
        </w:tc>
      </w:tr>
      <w:tr w:rsidR="00B47B7D" w:rsidRPr="000B6B22" w14:paraId="6B7F0392" w14:textId="77777777" w:rsidTr="00454544">
        <w:tc>
          <w:tcPr>
            <w:tcW w:w="756" w:type="dxa"/>
            <w:shd w:val="clear" w:color="auto" w:fill="auto"/>
            <w:vAlign w:val="center"/>
          </w:tcPr>
          <w:p w14:paraId="48D80696" w14:textId="7532BB30" w:rsidR="007453EC" w:rsidRPr="000B6B22" w:rsidRDefault="00DF552C" w:rsidP="009D4EFF">
            <w:pPr>
              <w:spacing w:before="0"/>
              <w:rPr>
                <w:rFonts w:ascii="Times New Roman" w:hAnsi="Times New Roman"/>
                <w:sz w:val="24"/>
              </w:rPr>
            </w:pPr>
            <w:r>
              <w:rPr>
                <w:rFonts w:ascii="Times New Roman" w:hAnsi="Times New Roman"/>
                <w:sz w:val="24"/>
              </w:rPr>
              <w:t>0277</w:t>
            </w:r>
          </w:p>
        </w:tc>
        <w:tc>
          <w:tcPr>
            <w:tcW w:w="7540" w:type="dxa"/>
            <w:shd w:val="clear" w:color="auto" w:fill="auto"/>
            <w:vAlign w:val="center"/>
          </w:tcPr>
          <w:p w14:paraId="228195AA" w14:textId="77777777" w:rsidR="007453EC" w:rsidRPr="000B6B22" w:rsidRDefault="007453EC">
            <w:pPr>
              <w:spacing w:before="0"/>
              <w:rPr>
                <w:rFonts w:ascii="Times New Roman" w:hAnsi="Times New Roman"/>
                <w:b/>
                <w:bCs/>
                <w:sz w:val="24"/>
              </w:rPr>
            </w:pPr>
            <w:r>
              <w:rPr>
                <w:rFonts w:ascii="Times New Roman" w:hAnsi="Times New Roman"/>
                <w:b/>
                <w:sz w:val="24"/>
              </w:rPr>
              <w:t>1.2.1.1.3. Εξασφαλίσεις επιπέδου 2Α</w:t>
            </w:r>
          </w:p>
          <w:p w14:paraId="6057672F" w14:textId="1BBCB13B" w:rsidR="007453EC" w:rsidRPr="000B6B22" w:rsidRDefault="000378A5">
            <w:pPr>
              <w:spacing w:before="0"/>
              <w:rPr>
                <w:rFonts w:ascii="Times New Roman" w:hAnsi="Times New Roman"/>
                <w:bCs/>
                <w:sz w:val="24"/>
              </w:rPr>
            </w:pPr>
            <w:r>
              <w:rPr>
                <w:rFonts w:ascii="Times New Roman" w:hAnsi="Times New Roman"/>
                <w:sz w:val="24"/>
              </w:rPr>
              <w:t>Άρθρο 32 παράγραφος 3 στοιχείο β) του κατ’ εξουσιοδότηση κανονισμού (ΕΕ) 2015/61</w:t>
            </w:r>
          </w:p>
          <w:p w14:paraId="141E5A68" w14:textId="30E7ED57" w:rsidR="007453EC" w:rsidRPr="000B6B22" w:rsidRDefault="007453EC">
            <w:pPr>
              <w:spacing w:before="0"/>
              <w:rPr>
                <w:rFonts w:ascii="Times New Roman" w:hAnsi="Times New Roman"/>
                <w:bCs/>
                <w:sz w:val="24"/>
              </w:rPr>
            </w:pPr>
            <w:r>
              <w:rPr>
                <w:rFonts w:ascii="Times New Roman" w:hAnsi="Times New Roman"/>
                <w:sz w:val="24"/>
              </w:rPr>
              <w:t xml:space="preserve">Εξασφαλισμένες πιστοδοτήσεις και συναλλαγές με όρους κεφαλαιαγοράς με εναπομένουσα ληκτότητα που δεν υπερβαίνει τις 30 ημέρες, όταν ο αντισυμβαλλόμενος είναι κεντρική τράπεζα και όταν η συναλλαγή εξασφαλίζεται με στοιχεία ενεργητικού τα οποία, ανεξάρτητα από το εάν </w:t>
            </w:r>
            <w:r>
              <w:rPr>
                <w:rFonts w:ascii="Times New Roman" w:hAnsi="Times New Roman"/>
                <w:sz w:val="24"/>
              </w:rPr>
              <w:lastRenderedPageBreak/>
              <w:t>χρησιμοποιούνται εκ νέου σε άλλη συναλλαγή, θα μπορούσαν να χαρακτηριστούν βάσει των άρθρων 7 και 11 του κατ’ εξουσιοδότηση κανονισμού (ΕΕ) 2015/61 ως ρευστά στοιχεία ενεργητικού οποιασδήποτε από τις κατηγορίες στοιχείων ενεργητικού επιπέδου 2Α που αναφέρονται στο άρθρο 11.</w:t>
            </w:r>
          </w:p>
        </w:tc>
      </w:tr>
      <w:tr w:rsidR="00B47B7D" w:rsidRPr="000B6B22" w14:paraId="16607836" w14:textId="77777777" w:rsidTr="00454544">
        <w:tc>
          <w:tcPr>
            <w:tcW w:w="756" w:type="dxa"/>
            <w:shd w:val="clear" w:color="auto" w:fill="auto"/>
            <w:vAlign w:val="center"/>
          </w:tcPr>
          <w:p w14:paraId="02B8F64C" w14:textId="0A1F3210" w:rsidR="007453EC" w:rsidRPr="000B6B22" w:rsidRDefault="00DF552C" w:rsidP="009D4EFF">
            <w:pPr>
              <w:spacing w:before="0"/>
              <w:rPr>
                <w:rFonts w:ascii="Times New Roman" w:hAnsi="Times New Roman"/>
                <w:sz w:val="24"/>
              </w:rPr>
            </w:pPr>
            <w:r>
              <w:rPr>
                <w:rFonts w:ascii="Times New Roman" w:hAnsi="Times New Roman"/>
                <w:sz w:val="24"/>
              </w:rPr>
              <w:lastRenderedPageBreak/>
              <w:t>0279</w:t>
            </w:r>
          </w:p>
        </w:tc>
        <w:tc>
          <w:tcPr>
            <w:tcW w:w="7540" w:type="dxa"/>
            <w:shd w:val="clear" w:color="auto" w:fill="auto"/>
            <w:vAlign w:val="center"/>
          </w:tcPr>
          <w:p w14:paraId="0CCD77A3" w14:textId="77777777" w:rsidR="007453EC" w:rsidRPr="000B6B22" w:rsidRDefault="007453EC">
            <w:pPr>
              <w:spacing w:before="0"/>
              <w:rPr>
                <w:rFonts w:ascii="Times New Roman" w:hAnsi="Times New Roman"/>
                <w:b/>
                <w:bCs/>
                <w:sz w:val="24"/>
              </w:rPr>
            </w:pPr>
            <w:r>
              <w:rPr>
                <w:rFonts w:ascii="Times New Roman" w:hAnsi="Times New Roman"/>
                <w:b/>
                <w:sz w:val="24"/>
              </w:rPr>
              <w:t>1.2.1.1.3.1.</w:t>
            </w:r>
            <w:r>
              <w:rPr>
                <w:rFonts w:ascii="Times New Roman" w:hAnsi="Times New Roman"/>
                <w:sz w:val="24"/>
              </w:rPr>
              <w:t xml:space="preserve"> </w:t>
            </w:r>
            <w:r>
              <w:rPr>
                <w:rFonts w:ascii="Times New Roman" w:hAnsi="Times New Roman"/>
                <w:b/>
                <w:sz w:val="24"/>
              </w:rPr>
              <w:t>των οποίων οι ληφθείσες εξασφαλίσεις πληρούν τις λειτουργικές απαιτήσεις</w:t>
            </w:r>
          </w:p>
          <w:p w14:paraId="41735A45" w14:textId="3CC5648C" w:rsidR="007453EC" w:rsidRPr="000B6B22" w:rsidRDefault="000378A5">
            <w:pPr>
              <w:spacing w:before="0"/>
              <w:rPr>
                <w:rFonts w:ascii="Times New Roman" w:hAnsi="Times New Roman"/>
                <w:bCs/>
                <w:sz w:val="24"/>
              </w:rPr>
            </w:pPr>
            <w:r>
              <w:rPr>
                <w:rFonts w:ascii="Times New Roman" w:hAnsi="Times New Roman"/>
                <w:sz w:val="24"/>
              </w:rPr>
              <w:t>Άρθρο 32 παράγραφος 3 στοιχείο β) του κατ’ εξουσιοδότηση κανονισμού (ΕΕ) 2015/61</w:t>
            </w:r>
          </w:p>
          <w:p w14:paraId="015AE06D" w14:textId="7BAF1524" w:rsidR="007453EC" w:rsidRPr="000B6B22" w:rsidRDefault="007453EC">
            <w:pPr>
              <w:spacing w:before="0"/>
              <w:rPr>
                <w:rFonts w:ascii="Times New Roman" w:hAnsi="Times New Roman"/>
                <w:b/>
                <w:bCs/>
                <w:sz w:val="24"/>
              </w:rPr>
            </w:pPr>
            <w:r>
              <w:rPr>
                <w:rFonts w:ascii="Times New Roman" w:hAnsi="Times New Roman"/>
                <w:sz w:val="24"/>
              </w:rPr>
              <w:t>Από τις συναλλαγές που αναφέρονται στο σημείο 1.2.1.1.3, εκείνες οι συναλλαγές των οποίων οι ληφθείσες εξασφαλίσεις πληρούν τις λειτουργικές απαιτήσεις του άρθρου 8 του κατ’ εξουσιοδότηση κανονισμού (ΕΕ) 2015/61.</w:t>
            </w:r>
          </w:p>
        </w:tc>
      </w:tr>
      <w:tr w:rsidR="00B47B7D" w:rsidRPr="000B6B22" w14:paraId="7AA2A1E2" w14:textId="77777777" w:rsidTr="00454544">
        <w:tc>
          <w:tcPr>
            <w:tcW w:w="756" w:type="dxa"/>
            <w:shd w:val="clear" w:color="auto" w:fill="auto"/>
            <w:vAlign w:val="center"/>
          </w:tcPr>
          <w:p w14:paraId="0DF07574" w14:textId="3747D3C3" w:rsidR="007453EC" w:rsidRPr="000B6B22" w:rsidRDefault="00DF552C" w:rsidP="009D4EFF">
            <w:pPr>
              <w:spacing w:before="0"/>
              <w:rPr>
                <w:rFonts w:ascii="Times New Roman" w:hAnsi="Times New Roman"/>
                <w:sz w:val="24"/>
              </w:rPr>
            </w:pPr>
            <w:r>
              <w:rPr>
                <w:rFonts w:ascii="Times New Roman" w:hAnsi="Times New Roman"/>
                <w:sz w:val="24"/>
              </w:rPr>
              <w:t>0281</w:t>
            </w:r>
          </w:p>
        </w:tc>
        <w:tc>
          <w:tcPr>
            <w:tcW w:w="7540" w:type="dxa"/>
            <w:shd w:val="clear" w:color="auto" w:fill="auto"/>
            <w:vAlign w:val="center"/>
          </w:tcPr>
          <w:p w14:paraId="5CD6AD35" w14:textId="77777777" w:rsidR="007453EC" w:rsidRPr="000B6B22" w:rsidRDefault="007453EC">
            <w:pPr>
              <w:spacing w:before="0"/>
              <w:rPr>
                <w:rFonts w:ascii="Times New Roman" w:hAnsi="Times New Roman"/>
                <w:b/>
                <w:bCs/>
                <w:sz w:val="24"/>
              </w:rPr>
            </w:pPr>
            <w:r>
              <w:rPr>
                <w:rFonts w:ascii="Times New Roman" w:hAnsi="Times New Roman"/>
                <w:b/>
                <w:sz w:val="24"/>
              </w:rPr>
              <w:t>1.2.1.1.4. Εξασφαλίσεις με τίτλους επιπέδου 2B από τιτλοποίηση (στεγαστικά δάνεια ή δάνεια για την αγορά αυτοκινήτου)</w:t>
            </w:r>
          </w:p>
          <w:p w14:paraId="32BFA614" w14:textId="322AB308" w:rsidR="007453EC" w:rsidRPr="000B6B22" w:rsidRDefault="000378A5">
            <w:pPr>
              <w:spacing w:before="0"/>
              <w:rPr>
                <w:rFonts w:ascii="Times New Roman" w:hAnsi="Times New Roman"/>
                <w:bCs/>
                <w:sz w:val="24"/>
              </w:rPr>
            </w:pPr>
            <w:r>
              <w:rPr>
                <w:rFonts w:ascii="Times New Roman" w:hAnsi="Times New Roman"/>
                <w:sz w:val="24"/>
              </w:rPr>
              <w:t>Άρθρο 32 παράγραφος 3 στοιχείο β) του κατ’ εξουσιοδότηση κανονισμού (ΕΕ) 2015/61</w:t>
            </w:r>
          </w:p>
          <w:p w14:paraId="7D532AEC" w14:textId="2B1EC8BF" w:rsidR="007453EC" w:rsidRPr="000B6B22" w:rsidRDefault="007453EC">
            <w:pPr>
              <w:spacing w:before="0"/>
              <w:rPr>
                <w:rFonts w:ascii="Times New Roman" w:hAnsi="Times New Roman"/>
                <w:bCs/>
                <w:sz w:val="24"/>
              </w:rPr>
            </w:pPr>
            <w:r>
              <w:rPr>
                <w:rFonts w:ascii="Times New Roman" w:hAnsi="Times New Roman"/>
                <w:sz w:val="24"/>
              </w:rPr>
              <w:t>Εξασφαλισμένες πιστοδοτήσεις και συναλλαγές με όρους κεφαλαιαγοράς με εναπομένουσα ληκτότητα που δεν υπερβαίνει τις 30 ημέρες, όταν ο αντισυμβαλλόμενος είναι κεντρική τράπεζα και όταν η συναλλαγή εξασφαλίζεται με στοιχεία ενεργητικού τα οποία, ανεξάρτητα από το εάν χρησιμοποιούνται εκ νέου σε άλλη συναλλαγή, θα μπορούσαν να χαρακτηριστούν βάσει των άρθρων 7 και 13 του κατ’ εξουσιοδότηση κανονισμού (ΕΕ) 2015/61 ως ρευστά στοιχεία ενεργητικού οποιασδήποτε από τις κατηγορίες στοιχείων ενεργητικού επιπέδου 2Β που αναφέρονται στο άρθρο 13 παράγραφος 2 στοιχείο ζ) σημεία i), ii) ή iv).</w:t>
            </w:r>
          </w:p>
        </w:tc>
      </w:tr>
      <w:tr w:rsidR="00B47B7D" w:rsidRPr="000B6B22" w14:paraId="5CCE3954" w14:textId="77777777" w:rsidTr="00454544">
        <w:tc>
          <w:tcPr>
            <w:tcW w:w="756" w:type="dxa"/>
            <w:shd w:val="clear" w:color="auto" w:fill="auto"/>
            <w:vAlign w:val="center"/>
          </w:tcPr>
          <w:p w14:paraId="4C294892" w14:textId="20DA8462" w:rsidR="007453EC" w:rsidRPr="000B6B22" w:rsidRDefault="00DF552C" w:rsidP="009D4EFF">
            <w:pPr>
              <w:spacing w:before="0"/>
              <w:rPr>
                <w:rFonts w:ascii="Times New Roman" w:hAnsi="Times New Roman"/>
                <w:sz w:val="24"/>
              </w:rPr>
            </w:pPr>
            <w:r>
              <w:rPr>
                <w:rFonts w:ascii="Times New Roman" w:hAnsi="Times New Roman"/>
                <w:sz w:val="24"/>
              </w:rPr>
              <w:t>0283</w:t>
            </w:r>
          </w:p>
        </w:tc>
        <w:tc>
          <w:tcPr>
            <w:tcW w:w="7540" w:type="dxa"/>
            <w:shd w:val="clear" w:color="auto" w:fill="auto"/>
            <w:vAlign w:val="center"/>
          </w:tcPr>
          <w:p w14:paraId="66D1F16A" w14:textId="77777777" w:rsidR="007453EC" w:rsidRPr="000B6B22" w:rsidRDefault="007453EC">
            <w:pPr>
              <w:spacing w:before="0"/>
              <w:rPr>
                <w:rFonts w:ascii="Times New Roman" w:hAnsi="Times New Roman"/>
                <w:b/>
                <w:bCs/>
                <w:sz w:val="24"/>
              </w:rPr>
            </w:pPr>
            <w:r>
              <w:rPr>
                <w:rFonts w:ascii="Times New Roman" w:hAnsi="Times New Roman"/>
                <w:b/>
                <w:sz w:val="24"/>
              </w:rPr>
              <w:t>1.2.1.1.4.1.</w:t>
            </w:r>
            <w:r>
              <w:rPr>
                <w:rFonts w:ascii="Times New Roman" w:hAnsi="Times New Roman"/>
                <w:sz w:val="24"/>
              </w:rPr>
              <w:t xml:space="preserve"> </w:t>
            </w:r>
            <w:r>
              <w:rPr>
                <w:rFonts w:ascii="Times New Roman" w:hAnsi="Times New Roman"/>
                <w:b/>
                <w:sz w:val="24"/>
              </w:rPr>
              <w:t>των οποίων οι ληφθείσες εξασφαλίσεις πληρούν τις λειτουργικές απαιτήσεις</w:t>
            </w:r>
          </w:p>
          <w:p w14:paraId="1F274A53" w14:textId="647760C8" w:rsidR="007453EC" w:rsidRPr="000B6B22" w:rsidRDefault="000378A5">
            <w:pPr>
              <w:spacing w:before="0"/>
              <w:rPr>
                <w:rFonts w:ascii="Times New Roman" w:hAnsi="Times New Roman"/>
                <w:bCs/>
                <w:sz w:val="24"/>
              </w:rPr>
            </w:pPr>
            <w:r>
              <w:rPr>
                <w:rFonts w:ascii="Times New Roman" w:hAnsi="Times New Roman"/>
                <w:sz w:val="24"/>
              </w:rPr>
              <w:t>Άρθρο 32 παράγραφος 3 στοιχείο β) του κατ’ εξουσιοδότηση κανονισμού (ΕΕ) 2015/61</w:t>
            </w:r>
          </w:p>
          <w:p w14:paraId="415B0B53" w14:textId="52C8B711" w:rsidR="007453EC" w:rsidRPr="000B6B22" w:rsidRDefault="007453EC">
            <w:pPr>
              <w:spacing w:before="0"/>
              <w:rPr>
                <w:rFonts w:ascii="Times New Roman" w:hAnsi="Times New Roman"/>
                <w:b/>
                <w:bCs/>
                <w:sz w:val="24"/>
              </w:rPr>
            </w:pPr>
            <w:r>
              <w:rPr>
                <w:rFonts w:ascii="Times New Roman" w:hAnsi="Times New Roman"/>
                <w:sz w:val="24"/>
              </w:rPr>
              <w:t>Από τις συναλλαγές που αναφέρονται στο σημείο 1.2.1.1.4, εκείνες οι συναλλαγές των οποίων οι ληφθείσες εξασφαλίσεις πληρούν τις λειτουργικές απαιτήσεις του άρθρου 8 του κατ’ εξουσιοδότηση κανονισμού (ΕΕ) 2015/61.</w:t>
            </w:r>
          </w:p>
        </w:tc>
      </w:tr>
      <w:tr w:rsidR="00B47B7D" w:rsidRPr="000B6B22" w14:paraId="451770B5" w14:textId="77777777" w:rsidTr="00454544">
        <w:tc>
          <w:tcPr>
            <w:tcW w:w="756" w:type="dxa"/>
            <w:shd w:val="clear" w:color="auto" w:fill="auto"/>
            <w:vAlign w:val="center"/>
          </w:tcPr>
          <w:p w14:paraId="6E7A44F9" w14:textId="188BDD54" w:rsidR="007453EC" w:rsidRPr="000B6B22" w:rsidRDefault="00DF552C" w:rsidP="009D4EFF">
            <w:pPr>
              <w:spacing w:before="0"/>
              <w:rPr>
                <w:rFonts w:ascii="Times New Roman" w:hAnsi="Times New Roman"/>
                <w:sz w:val="24"/>
              </w:rPr>
            </w:pPr>
            <w:r>
              <w:rPr>
                <w:rFonts w:ascii="Times New Roman" w:hAnsi="Times New Roman"/>
                <w:sz w:val="24"/>
              </w:rPr>
              <w:t>0285</w:t>
            </w:r>
          </w:p>
        </w:tc>
        <w:tc>
          <w:tcPr>
            <w:tcW w:w="7540" w:type="dxa"/>
            <w:shd w:val="clear" w:color="auto" w:fill="auto"/>
            <w:vAlign w:val="center"/>
          </w:tcPr>
          <w:p w14:paraId="63B4EF27" w14:textId="77777777" w:rsidR="007453EC" w:rsidRPr="000B6B22" w:rsidRDefault="007453EC">
            <w:pPr>
              <w:spacing w:before="0"/>
              <w:rPr>
                <w:rFonts w:ascii="Times New Roman" w:hAnsi="Times New Roman"/>
                <w:b/>
                <w:bCs/>
                <w:sz w:val="24"/>
              </w:rPr>
            </w:pPr>
            <w:r>
              <w:rPr>
                <w:rFonts w:ascii="Times New Roman" w:hAnsi="Times New Roman"/>
                <w:b/>
                <w:sz w:val="24"/>
              </w:rPr>
              <w:t>1.2.1.1.5. Εξασφαλίσεις με υψηλής ποιότητας καλυμμένα ομόλογα επιπέδου 2Β</w:t>
            </w:r>
          </w:p>
          <w:p w14:paraId="2F479E2F" w14:textId="6FB8B0EB" w:rsidR="007453EC" w:rsidRPr="000B6B22" w:rsidRDefault="000378A5">
            <w:pPr>
              <w:spacing w:before="0"/>
              <w:rPr>
                <w:rFonts w:ascii="Times New Roman" w:hAnsi="Times New Roman"/>
                <w:bCs/>
                <w:sz w:val="24"/>
              </w:rPr>
            </w:pPr>
            <w:r>
              <w:rPr>
                <w:rFonts w:ascii="Times New Roman" w:hAnsi="Times New Roman"/>
                <w:sz w:val="24"/>
              </w:rPr>
              <w:t>Άρθρο 32 παράγραφος 3 στοιχείο β) του κατ’ εξουσιοδότηση κανονισμού (ΕΕ) 2015/61</w:t>
            </w:r>
          </w:p>
          <w:p w14:paraId="698C43F1" w14:textId="01B272F8" w:rsidR="007453EC" w:rsidRPr="000B6B22" w:rsidRDefault="007453EC">
            <w:pPr>
              <w:spacing w:before="0"/>
              <w:rPr>
                <w:rFonts w:ascii="Times New Roman" w:hAnsi="Times New Roman"/>
                <w:bCs/>
                <w:sz w:val="24"/>
              </w:rPr>
            </w:pPr>
            <w:r>
              <w:rPr>
                <w:rFonts w:ascii="Times New Roman" w:hAnsi="Times New Roman"/>
                <w:sz w:val="24"/>
              </w:rPr>
              <w:t xml:space="preserve">Εξασφαλισμένες πιστοδοτήσεις και συναλλαγές με όρους κεφαλαιαγοράς με εναπομένουσα ληκτότητα που δεν υπερβαίνει τις 30 ημέρες, όταν ο αντισυμβαλλόμενος είναι κεντρική τράπεζα και όταν η συναλλαγή εξασφαλίζεται με στοιχεία ενεργητικού τα οποία, ανεξάρτητα από το εάν χρησιμοποιούνται εκ νέου σε άλλη συναλλαγή, θα μπορούσαν να χαρακτηριστούν βάσει των άρθρων 7 και 12 του κατ’ εξουσιοδότηση κανονισμού (ΕΕ) 2015/61 ως ρευστά στοιχεία ενεργητικού της κατηγορίας </w:t>
            </w:r>
            <w:r>
              <w:rPr>
                <w:rFonts w:ascii="Times New Roman" w:hAnsi="Times New Roman"/>
                <w:sz w:val="24"/>
              </w:rPr>
              <w:lastRenderedPageBreak/>
              <w:t>στοιχείων ενεργητικού επιπέδου 2Β που αναφέρεται στο άρθρο 12 παράγραφος 1 στοιχείο ε).</w:t>
            </w:r>
          </w:p>
        </w:tc>
      </w:tr>
      <w:tr w:rsidR="00B47B7D" w:rsidRPr="000B6B22" w14:paraId="246CAABC" w14:textId="77777777" w:rsidTr="00454544">
        <w:tc>
          <w:tcPr>
            <w:tcW w:w="756" w:type="dxa"/>
            <w:shd w:val="clear" w:color="auto" w:fill="auto"/>
            <w:vAlign w:val="center"/>
          </w:tcPr>
          <w:p w14:paraId="2F4BA8C5" w14:textId="29F92830" w:rsidR="007453EC" w:rsidRPr="000B6B22" w:rsidRDefault="00DF552C" w:rsidP="009D4EFF">
            <w:pPr>
              <w:spacing w:before="0"/>
              <w:rPr>
                <w:rFonts w:ascii="Times New Roman" w:hAnsi="Times New Roman"/>
                <w:sz w:val="24"/>
              </w:rPr>
            </w:pPr>
            <w:r>
              <w:rPr>
                <w:rFonts w:ascii="Times New Roman" w:hAnsi="Times New Roman"/>
                <w:sz w:val="24"/>
              </w:rPr>
              <w:lastRenderedPageBreak/>
              <w:t>0287</w:t>
            </w:r>
          </w:p>
        </w:tc>
        <w:tc>
          <w:tcPr>
            <w:tcW w:w="7540" w:type="dxa"/>
            <w:shd w:val="clear" w:color="auto" w:fill="auto"/>
            <w:vAlign w:val="center"/>
          </w:tcPr>
          <w:p w14:paraId="04965F51" w14:textId="77777777" w:rsidR="007453EC" w:rsidRPr="000B6B22" w:rsidRDefault="007453EC">
            <w:pPr>
              <w:spacing w:before="0"/>
              <w:rPr>
                <w:rFonts w:ascii="Times New Roman" w:hAnsi="Times New Roman"/>
                <w:b/>
                <w:bCs/>
                <w:sz w:val="24"/>
              </w:rPr>
            </w:pPr>
            <w:r>
              <w:rPr>
                <w:rFonts w:ascii="Times New Roman" w:hAnsi="Times New Roman"/>
                <w:b/>
                <w:sz w:val="24"/>
              </w:rPr>
              <w:t>1.2.1.1.5.1.</w:t>
            </w:r>
            <w:r>
              <w:rPr>
                <w:rFonts w:ascii="Times New Roman" w:hAnsi="Times New Roman"/>
                <w:sz w:val="24"/>
              </w:rPr>
              <w:t xml:space="preserve"> </w:t>
            </w:r>
            <w:r>
              <w:rPr>
                <w:rFonts w:ascii="Times New Roman" w:hAnsi="Times New Roman"/>
                <w:b/>
                <w:sz w:val="24"/>
              </w:rPr>
              <w:t>των οποίων οι ληφθείσες εξασφαλίσεις πληρούν τις λειτουργικές απαιτήσεις</w:t>
            </w:r>
          </w:p>
          <w:p w14:paraId="17D3606C" w14:textId="04A6D9F7" w:rsidR="007453EC" w:rsidRPr="000B6B22" w:rsidRDefault="000378A5">
            <w:pPr>
              <w:spacing w:before="0"/>
              <w:rPr>
                <w:rFonts w:ascii="Times New Roman" w:hAnsi="Times New Roman"/>
                <w:bCs/>
                <w:sz w:val="24"/>
              </w:rPr>
            </w:pPr>
            <w:r>
              <w:rPr>
                <w:rFonts w:ascii="Times New Roman" w:hAnsi="Times New Roman"/>
                <w:sz w:val="24"/>
              </w:rPr>
              <w:t>Άρθρο 32 παράγραφος 3 στοιχείο β) του κατ’ εξουσιοδότηση κανονισμού (ΕΕ) 2015/61</w:t>
            </w:r>
          </w:p>
          <w:p w14:paraId="2326D957" w14:textId="1C3B3FA2" w:rsidR="007453EC" w:rsidRPr="000B6B22" w:rsidRDefault="007453EC">
            <w:pPr>
              <w:spacing w:before="0"/>
              <w:rPr>
                <w:rFonts w:ascii="Times New Roman" w:hAnsi="Times New Roman"/>
                <w:b/>
                <w:bCs/>
                <w:sz w:val="24"/>
              </w:rPr>
            </w:pPr>
            <w:r>
              <w:rPr>
                <w:rFonts w:ascii="Times New Roman" w:hAnsi="Times New Roman"/>
                <w:sz w:val="24"/>
              </w:rPr>
              <w:t>Από τις συναλλαγές που αναφέρονται στο σημείο 1.2.1.1.5, εκείνες οι συναλλαγές των οποίων οι ληφθείσες εξασφαλίσεις πληρούν τις λειτουργικές απαιτήσεις του άρθρου 8 του κατ’ εξουσιοδότηση κανονισμού (ΕΕ) 2015/61.</w:t>
            </w:r>
          </w:p>
        </w:tc>
      </w:tr>
      <w:tr w:rsidR="00B47B7D" w:rsidRPr="000B6B22" w14:paraId="58656E98" w14:textId="77777777" w:rsidTr="00454544">
        <w:tc>
          <w:tcPr>
            <w:tcW w:w="756" w:type="dxa"/>
            <w:shd w:val="clear" w:color="auto" w:fill="auto"/>
            <w:vAlign w:val="center"/>
          </w:tcPr>
          <w:p w14:paraId="77DEB6C0" w14:textId="350DA90F" w:rsidR="007453EC" w:rsidRPr="000B6B22" w:rsidRDefault="00DF552C" w:rsidP="009D4EFF">
            <w:pPr>
              <w:spacing w:before="0"/>
              <w:rPr>
                <w:rFonts w:ascii="Times New Roman" w:hAnsi="Times New Roman"/>
                <w:sz w:val="24"/>
              </w:rPr>
            </w:pPr>
            <w:r>
              <w:rPr>
                <w:rFonts w:ascii="Times New Roman" w:hAnsi="Times New Roman"/>
                <w:sz w:val="24"/>
              </w:rPr>
              <w:t>0289</w:t>
            </w:r>
          </w:p>
        </w:tc>
        <w:tc>
          <w:tcPr>
            <w:tcW w:w="7540" w:type="dxa"/>
            <w:shd w:val="clear" w:color="auto" w:fill="auto"/>
            <w:vAlign w:val="center"/>
          </w:tcPr>
          <w:p w14:paraId="3615D664" w14:textId="77777777" w:rsidR="007453EC" w:rsidRPr="000B6B22" w:rsidRDefault="007453EC">
            <w:pPr>
              <w:spacing w:before="0"/>
              <w:rPr>
                <w:rFonts w:ascii="Times New Roman" w:hAnsi="Times New Roman"/>
                <w:b/>
                <w:bCs/>
                <w:sz w:val="24"/>
              </w:rPr>
            </w:pPr>
            <w:r>
              <w:rPr>
                <w:rFonts w:ascii="Times New Roman" w:hAnsi="Times New Roman"/>
                <w:b/>
                <w:sz w:val="24"/>
              </w:rPr>
              <w:t>1.2.1.1.6. Εξασφαλίσεις με τίτλους επιπέδου 2B από τιτλοποίηση (εμπορικά δάνεια ή δάνεια σε ιδιώτες)</w:t>
            </w:r>
          </w:p>
          <w:p w14:paraId="7ECE90DE" w14:textId="5DA031B4" w:rsidR="007453EC" w:rsidRPr="000B6B22" w:rsidRDefault="000378A5">
            <w:pPr>
              <w:spacing w:before="0"/>
              <w:rPr>
                <w:rFonts w:ascii="Times New Roman" w:hAnsi="Times New Roman"/>
                <w:bCs/>
                <w:sz w:val="24"/>
              </w:rPr>
            </w:pPr>
            <w:r>
              <w:rPr>
                <w:rFonts w:ascii="Times New Roman" w:hAnsi="Times New Roman"/>
                <w:sz w:val="24"/>
              </w:rPr>
              <w:t>Άρθρο 32 παράγραφος 3 στοιχείο β) του κατ’ εξουσιοδότηση κανονισμού (ΕΕ) 2015/61</w:t>
            </w:r>
          </w:p>
          <w:p w14:paraId="55988CFB" w14:textId="57080A72" w:rsidR="007453EC" w:rsidRPr="000B6B22" w:rsidRDefault="007453EC">
            <w:pPr>
              <w:spacing w:before="0"/>
              <w:rPr>
                <w:rFonts w:ascii="Times New Roman" w:hAnsi="Times New Roman"/>
                <w:bCs/>
                <w:sz w:val="24"/>
              </w:rPr>
            </w:pPr>
            <w:r>
              <w:rPr>
                <w:rFonts w:ascii="Times New Roman" w:hAnsi="Times New Roman"/>
                <w:sz w:val="24"/>
              </w:rPr>
              <w:t>Εξασφαλισμένες πιστοδοτήσεις και συναλλαγές με όρους κεφαλαιαγοράς με εναπομένουσα ληκτότητα που δεν υπερβαίνει τις 30 ημέρες, όταν ο αντισυμβαλλόμενος είναι κεντρική τράπεζα και όταν η συναλλαγή εξασφαλίζεται με στοιχεία ενεργητικού τα οποία, ανεξάρτητα από το εάν χρησιμοποιούνται εκ νέου σε άλλη συναλλαγή, θα μπορούσαν να χαρακτηριστούν βάσει των άρθρων 7 και 13 του κατ’ εξουσιοδότηση κανονισμού (ΕΕ) 2015/61 ως ρευστά στοιχεία ενεργητικού οποιασδήποτε από τις κατηγορίες στοιχείων ενεργητικού επιπέδου 2Β που αναφέρονται στο άρθρο 13 παράγραφος 2 στοιχείο ζ) σημεία iii) ή v).</w:t>
            </w:r>
          </w:p>
        </w:tc>
      </w:tr>
      <w:tr w:rsidR="00B47B7D" w:rsidRPr="000B6B22" w14:paraId="23366722" w14:textId="77777777" w:rsidTr="00454544">
        <w:tc>
          <w:tcPr>
            <w:tcW w:w="756" w:type="dxa"/>
            <w:shd w:val="clear" w:color="auto" w:fill="auto"/>
            <w:vAlign w:val="center"/>
          </w:tcPr>
          <w:p w14:paraId="4650AF42" w14:textId="42FDE7D0" w:rsidR="007453EC" w:rsidRPr="000B6B22" w:rsidRDefault="00DF552C" w:rsidP="009D4EFF">
            <w:pPr>
              <w:spacing w:before="0"/>
              <w:rPr>
                <w:rFonts w:ascii="Times New Roman" w:hAnsi="Times New Roman"/>
                <w:sz w:val="24"/>
              </w:rPr>
            </w:pPr>
            <w:r>
              <w:rPr>
                <w:rFonts w:ascii="Times New Roman" w:hAnsi="Times New Roman"/>
                <w:sz w:val="24"/>
              </w:rPr>
              <w:t>0291</w:t>
            </w:r>
          </w:p>
        </w:tc>
        <w:tc>
          <w:tcPr>
            <w:tcW w:w="7540" w:type="dxa"/>
            <w:shd w:val="clear" w:color="auto" w:fill="auto"/>
            <w:vAlign w:val="center"/>
          </w:tcPr>
          <w:p w14:paraId="2060625A" w14:textId="77777777" w:rsidR="007453EC" w:rsidRPr="000B6B22" w:rsidRDefault="007453EC">
            <w:pPr>
              <w:spacing w:before="0"/>
              <w:rPr>
                <w:rFonts w:ascii="Times New Roman" w:hAnsi="Times New Roman"/>
                <w:b/>
                <w:bCs/>
                <w:sz w:val="24"/>
              </w:rPr>
            </w:pPr>
            <w:r>
              <w:rPr>
                <w:rFonts w:ascii="Times New Roman" w:hAnsi="Times New Roman"/>
                <w:b/>
                <w:sz w:val="24"/>
              </w:rPr>
              <w:t>1.2.1.1.6.1.</w:t>
            </w:r>
            <w:r>
              <w:rPr>
                <w:rFonts w:ascii="Times New Roman" w:hAnsi="Times New Roman"/>
                <w:sz w:val="24"/>
              </w:rPr>
              <w:t xml:space="preserve"> </w:t>
            </w:r>
            <w:r>
              <w:rPr>
                <w:rFonts w:ascii="Times New Roman" w:hAnsi="Times New Roman"/>
                <w:b/>
                <w:sz w:val="24"/>
              </w:rPr>
              <w:t>των οποίων οι ληφθείσες εξασφαλίσεις πληρούν τις λειτουργικές απαιτήσεις</w:t>
            </w:r>
          </w:p>
          <w:p w14:paraId="2CA9D556" w14:textId="5B566ECC" w:rsidR="007453EC" w:rsidRPr="000B6B22" w:rsidRDefault="000378A5">
            <w:pPr>
              <w:spacing w:before="0"/>
              <w:rPr>
                <w:rFonts w:ascii="Times New Roman" w:hAnsi="Times New Roman"/>
                <w:bCs/>
                <w:sz w:val="24"/>
              </w:rPr>
            </w:pPr>
            <w:r>
              <w:rPr>
                <w:rFonts w:ascii="Times New Roman" w:hAnsi="Times New Roman"/>
                <w:sz w:val="24"/>
              </w:rPr>
              <w:t>Άρθρο 32 παράγραφος 3 στοιχείο β) του κατ’ εξουσιοδότηση κανονισμού (ΕΕ) 2015/61</w:t>
            </w:r>
          </w:p>
          <w:p w14:paraId="0A6A1864" w14:textId="1DE58026" w:rsidR="007453EC" w:rsidRPr="000B6B22" w:rsidRDefault="007453EC">
            <w:pPr>
              <w:spacing w:before="0"/>
              <w:rPr>
                <w:rFonts w:ascii="Times New Roman" w:hAnsi="Times New Roman"/>
                <w:b/>
                <w:bCs/>
                <w:sz w:val="24"/>
              </w:rPr>
            </w:pPr>
            <w:r>
              <w:rPr>
                <w:rFonts w:ascii="Times New Roman" w:hAnsi="Times New Roman"/>
                <w:sz w:val="24"/>
              </w:rPr>
              <w:t>Από τις συναλλαγές που αναφέρονται στο σημείο 1.2.1.1.6, εκείνες οι συναλλαγές των οποίων οι ληφθείσες εξασφαλίσεις πληρούν τις λειτουργικές απαιτήσεις του άρθρου 8 του κατ’ εξουσιοδότηση κανονισμού (ΕΕ) 2015/61.</w:t>
            </w:r>
          </w:p>
        </w:tc>
      </w:tr>
      <w:tr w:rsidR="00B47B7D" w:rsidRPr="000B6B22" w14:paraId="3B60FC8F" w14:textId="77777777" w:rsidTr="00454544">
        <w:tc>
          <w:tcPr>
            <w:tcW w:w="756" w:type="dxa"/>
            <w:shd w:val="clear" w:color="auto" w:fill="auto"/>
            <w:vAlign w:val="center"/>
          </w:tcPr>
          <w:p w14:paraId="791F3CAB" w14:textId="7EC514C5" w:rsidR="007453EC" w:rsidRPr="000B6B22" w:rsidRDefault="00DF552C" w:rsidP="009D4EFF">
            <w:pPr>
              <w:spacing w:before="0"/>
              <w:rPr>
                <w:rFonts w:ascii="Times New Roman" w:hAnsi="Times New Roman"/>
                <w:sz w:val="24"/>
              </w:rPr>
            </w:pPr>
            <w:r>
              <w:rPr>
                <w:rFonts w:ascii="Times New Roman" w:hAnsi="Times New Roman"/>
                <w:sz w:val="24"/>
              </w:rPr>
              <w:t>0293</w:t>
            </w:r>
          </w:p>
        </w:tc>
        <w:tc>
          <w:tcPr>
            <w:tcW w:w="7540" w:type="dxa"/>
            <w:shd w:val="clear" w:color="auto" w:fill="auto"/>
            <w:vAlign w:val="center"/>
          </w:tcPr>
          <w:p w14:paraId="3E676A9A" w14:textId="77777777" w:rsidR="007453EC" w:rsidRPr="000B6B22" w:rsidRDefault="007453EC">
            <w:pPr>
              <w:spacing w:before="0"/>
              <w:rPr>
                <w:rFonts w:ascii="Times New Roman" w:hAnsi="Times New Roman"/>
                <w:b/>
                <w:bCs/>
                <w:sz w:val="24"/>
              </w:rPr>
            </w:pPr>
            <w:r>
              <w:rPr>
                <w:rFonts w:ascii="Times New Roman" w:hAnsi="Times New Roman"/>
                <w:b/>
                <w:sz w:val="24"/>
              </w:rPr>
              <w:t>1.2.1.1.7. εξασφαλίσεις επιπέδου 2Β που δεν αναφέρονται ήδη στο τμήμα 1.2.1.1.4., 1.2.1.1.5. ή 1.2.1.1.6.</w:t>
            </w:r>
          </w:p>
          <w:p w14:paraId="207160CD" w14:textId="14648D9B" w:rsidR="007453EC" w:rsidRPr="000B6B22" w:rsidRDefault="000378A5">
            <w:pPr>
              <w:spacing w:before="0"/>
              <w:rPr>
                <w:rFonts w:ascii="Times New Roman" w:hAnsi="Times New Roman"/>
                <w:bCs/>
                <w:sz w:val="24"/>
              </w:rPr>
            </w:pPr>
            <w:r>
              <w:rPr>
                <w:rFonts w:ascii="Times New Roman" w:hAnsi="Times New Roman"/>
                <w:sz w:val="24"/>
              </w:rPr>
              <w:t>Άρθρο 32 παράγραφος 3 στοιχείο β) του κατ’ εξουσιοδότηση κανονισμού (ΕΕ) 2015/61</w:t>
            </w:r>
          </w:p>
          <w:p w14:paraId="389B5D8F" w14:textId="2BBE4B6E" w:rsidR="007453EC" w:rsidRPr="000B6B22" w:rsidRDefault="007453EC">
            <w:pPr>
              <w:spacing w:before="0"/>
              <w:rPr>
                <w:rFonts w:ascii="Times New Roman" w:hAnsi="Times New Roman"/>
                <w:bCs/>
                <w:sz w:val="24"/>
              </w:rPr>
            </w:pPr>
            <w:r>
              <w:rPr>
                <w:rFonts w:ascii="Times New Roman" w:hAnsi="Times New Roman"/>
                <w:sz w:val="24"/>
              </w:rPr>
              <w:t>Εξασφαλισμένες πιστοδοτήσεις και συναλλαγές με όρους κεφαλαιαγοράς με εναπομένουσα ληκτότητα που δεν υπερβαίνει τις 30 ημέρες, όταν ο αντισυμβαλλόμενος είναι κεντρική τράπεζα και όταν η συναλλαγή εξασφαλίζεται με στοιχεία ενεργητικού τα οποία, ανεξάρτητα από το εάν χρησιμοποιούνται εκ νέου σε άλλη συναλλαγή, θα μπορούσαν να χαρακτηριστούν βάσει των άρθρων 7 και 12 του κατ’ εξουσιοδότηση κανονισμού (ΕΕ) 2015/61 ως ρευστά στοιχεία ενεργητικού οποιασδήποτε από τις κατηγορίες στοιχείων ενεργητικού επιπέδου 2Β που αναφέρονται στο άρθρο 12 παράγραφος 1 στοιχεία β), γ) ή στ).</w:t>
            </w:r>
          </w:p>
        </w:tc>
      </w:tr>
      <w:tr w:rsidR="00B47B7D" w:rsidRPr="000B6B22" w14:paraId="75FE4745" w14:textId="77777777" w:rsidTr="00454544">
        <w:tc>
          <w:tcPr>
            <w:tcW w:w="756" w:type="dxa"/>
            <w:shd w:val="clear" w:color="auto" w:fill="auto"/>
            <w:vAlign w:val="center"/>
          </w:tcPr>
          <w:p w14:paraId="12C5C9FA" w14:textId="2BC394D0" w:rsidR="007453EC" w:rsidRPr="000B6B22" w:rsidRDefault="00DF552C" w:rsidP="009D4EFF">
            <w:pPr>
              <w:spacing w:before="0"/>
              <w:rPr>
                <w:rFonts w:ascii="Times New Roman" w:hAnsi="Times New Roman"/>
                <w:sz w:val="24"/>
              </w:rPr>
            </w:pPr>
            <w:r>
              <w:rPr>
                <w:rFonts w:ascii="Times New Roman" w:hAnsi="Times New Roman"/>
                <w:sz w:val="24"/>
              </w:rPr>
              <w:lastRenderedPageBreak/>
              <w:t>0295</w:t>
            </w:r>
          </w:p>
        </w:tc>
        <w:tc>
          <w:tcPr>
            <w:tcW w:w="7540" w:type="dxa"/>
            <w:shd w:val="clear" w:color="auto" w:fill="auto"/>
            <w:vAlign w:val="center"/>
          </w:tcPr>
          <w:p w14:paraId="48E22EFF" w14:textId="77777777" w:rsidR="007453EC" w:rsidRPr="000B6B22" w:rsidRDefault="007453EC">
            <w:pPr>
              <w:spacing w:before="0"/>
              <w:rPr>
                <w:rFonts w:ascii="Times New Roman" w:hAnsi="Times New Roman"/>
                <w:b/>
                <w:bCs/>
                <w:sz w:val="24"/>
              </w:rPr>
            </w:pPr>
            <w:r>
              <w:rPr>
                <w:rFonts w:ascii="Times New Roman" w:hAnsi="Times New Roman"/>
                <w:b/>
                <w:sz w:val="24"/>
              </w:rPr>
              <w:t>1.2.1.1.7.1.</w:t>
            </w:r>
            <w:r>
              <w:rPr>
                <w:rFonts w:ascii="Times New Roman" w:hAnsi="Times New Roman"/>
                <w:sz w:val="24"/>
              </w:rPr>
              <w:t xml:space="preserve"> </w:t>
            </w:r>
            <w:r>
              <w:rPr>
                <w:rFonts w:ascii="Times New Roman" w:hAnsi="Times New Roman"/>
                <w:b/>
                <w:sz w:val="24"/>
              </w:rPr>
              <w:t>των οποίων οι ληφθείσες εξασφαλίσεις πληρούν τις λειτουργικές απαιτήσεις</w:t>
            </w:r>
          </w:p>
          <w:p w14:paraId="2831C8CD" w14:textId="3FB88739" w:rsidR="007453EC" w:rsidRPr="000B6B22" w:rsidRDefault="000378A5">
            <w:pPr>
              <w:spacing w:before="0"/>
              <w:rPr>
                <w:rFonts w:ascii="Times New Roman" w:hAnsi="Times New Roman"/>
                <w:bCs/>
                <w:sz w:val="24"/>
              </w:rPr>
            </w:pPr>
            <w:r>
              <w:rPr>
                <w:rFonts w:ascii="Times New Roman" w:hAnsi="Times New Roman"/>
                <w:sz w:val="24"/>
              </w:rPr>
              <w:t>Άρθρο 32 παράγραφος 3 στοιχείο β) του κατ’ εξουσιοδότηση κανονισμού (ΕΕ) 2015/61</w:t>
            </w:r>
          </w:p>
          <w:p w14:paraId="18F123FC" w14:textId="25286B5A" w:rsidR="007453EC" w:rsidRPr="000B6B22" w:rsidRDefault="007453EC">
            <w:pPr>
              <w:spacing w:before="0"/>
              <w:rPr>
                <w:rFonts w:ascii="Times New Roman" w:hAnsi="Times New Roman"/>
                <w:b/>
                <w:bCs/>
                <w:sz w:val="24"/>
              </w:rPr>
            </w:pPr>
            <w:r>
              <w:rPr>
                <w:rFonts w:ascii="Times New Roman" w:hAnsi="Times New Roman"/>
                <w:sz w:val="24"/>
              </w:rPr>
              <w:t>Από τις συναλλαγές που αναφέρονται στο σημείο 1.2.1.1.7, εκείνες οι συναλλαγές των οποίων οι ληφθείσες εξασφαλίσεις πληρούν τις λειτουργικές απαιτήσεις του άρθρου 8 του κατ’ εξουσιοδότηση κανονισμού (ΕΕ) 2015/61.</w:t>
            </w:r>
          </w:p>
        </w:tc>
      </w:tr>
      <w:tr w:rsidR="00B47B7D" w:rsidRPr="000B6B22" w14:paraId="63775C3B" w14:textId="77777777" w:rsidTr="00454544">
        <w:tc>
          <w:tcPr>
            <w:tcW w:w="756" w:type="dxa"/>
            <w:shd w:val="clear" w:color="auto" w:fill="auto"/>
            <w:vAlign w:val="center"/>
          </w:tcPr>
          <w:p w14:paraId="37012245" w14:textId="58FF38F5" w:rsidR="007453EC" w:rsidRPr="000B6B22" w:rsidRDefault="00DF552C" w:rsidP="009D4EFF">
            <w:pPr>
              <w:spacing w:before="0"/>
              <w:rPr>
                <w:rFonts w:ascii="Times New Roman" w:hAnsi="Times New Roman"/>
                <w:sz w:val="24"/>
              </w:rPr>
            </w:pPr>
            <w:r>
              <w:rPr>
                <w:rFonts w:ascii="Times New Roman" w:hAnsi="Times New Roman"/>
                <w:sz w:val="24"/>
              </w:rPr>
              <w:t>0297</w:t>
            </w:r>
          </w:p>
        </w:tc>
        <w:tc>
          <w:tcPr>
            <w:tcW w:w="7540" w:type="dxa"/>
            <w:shd w:val="clear" w:color="auto" w:fill="auto"/>
            <w:vAlign w:val="center"/>
          </w:tcPr>
          <w:p w14:paraId="418C82D0" w14:textId="77777777" w:rsidR="007453EC" w:rsidRPr="000B6B22" w:rsidRDefault="007453EC">
            <w:pPr>
              <w:spacing w:before="0"/>
              <w:rPr>
                <w:rFonts w:ascii="Times New Roman" w:hAnsi="Times New Roman"/>
                <w:b/>
                <w:bCs/>
                <w:sz w:val="24"/>
              </w:rPr>
            </w:pPr>
            <w:r>
              <w:rPr>
                <w:rFonts w:ascii="Times New Roman" w:hAnsi="Times New Roman"/>
                <w:b/>
                <w:sz w:val="24"/>
              </w:rPr>
              <w:t>1.2.1.2. η εξασφάλιση χρησιμοποιείται για την κάλυψη αρνητικής θέσης</w:t>
            </w:r>
          </w:p>
          <w:p w14:paraId="468345EC" w14:textId="32FB53EB" w:rsidR="007453EC" w:rsidRPr="000B6B22" w:rsidRDefault="000378A5">
            <w:pPr>
              <w:spacing w:before="0"/>
              <w:rPr>
                <w:rFonts w:ascii="Times New Roman" w:hAnsi="Times New Roman"/>
                <w:bCs/>
                <w:sz w:val="24"/>
              </w:rPr>
            </w:pPr>
            <w:r>
              <w:rPr>
                <w:rFonts w:ascii="Times New Roman" w:hAnsi="Times New Roman"/>
                <w:sz w:val="24"/>
              </w:rPr>
              <w:t>Άρθρο 32 παράγραφος 3 στοιχείο β) του κατ’ εξουσιοδότηση κανονισμού (ΕΕ) 2015/61</w:t>
            </w:r>
          </w:p>
          <w:p w14:paraId="351E38D7" w14:textId="77777777" w:rsidR="007453EC" w:rsidRPr="000B6B22" w:rsidRDefault="007453EC">
            <w:pPr>
              <w:spacing w:before="0"/>
              <w:rPr>
                <w:rFonts w:ascii="Times New Roman" w:hAnsi="Times New Roman"/>
                <w:bCs/>
                <w:sz w:val="24"/>
              </w:rPr>
            </w:pPr>
            <w:r>
              <w:rPr>
                <w:rFonts w:ascii="Times New Roman" w:hAnsi="Times New Roman"/>
                <w:sz w:val="24"/>
              </w:rPr>
              <w:t>Εξασφαλισμένες πιστοδοτήσεις και συναλλαγές με όρους κεφαλαιαγοράς με εναπομένουσα ληκτότητα που δεν υπερβαίνει τις 30 ημέρες, όταν ο αντισυμβαλλόμενος είναι κεντρική τράπεζα και όταν η συναλλαγή εξασφαλίζεται με στοιχεία ενεργητικού τα οποία χρησιμοποιούνται για την κάλυψη αρνητικής θέσης σύμφωνα με την δεύτερη περίοδο του άρθρου 30 παράγραφος 5. Όταν εξασφαλίσεις κάθε είδους χρησιμοποιούνται για την κάλυψη αρνητικής θέσης, αυτό αναφέρεται εδώ και όχι σε άλλη από τις ανωτέρω γραμμές. Δεν πρέπει να γίνεται διπλός υπολογισμός.</w:t>
            </w:r>
          </w:p>
        </w:tc>
      </w:tr>
      <w:tr w:rsidR="00B47B7D" w:rsidRPr="000B6B22" w14:paraId="560E4504" w14:textId="77777777" w:rsidTr="00454544">
        <w:tc>
          <w:tcPr>
            <w:tcW w:w="756" w:type="dxa"/>
            <w:shd w:val="clear" w:color="auto" w:fill="auto"/>
            <w:vAlign w:val="center"/>
          </w:tcPr>
          <w:p w14:paraId="751A3240" w14:textId="28277334" w:rsidR="007453EC" w:rsidRPr="000B6B22" w:rsidRDefault="00DF552C" w:rsidP="009D4EFF">
            <w:pPr>
              <w:spacing w:before="0"/>
              <w:rPr>
                <w:rFonts w:ascii="Times New Roman" w:hAnsi="Times New Roman"/>
                <w:sz w:val="24"/>
              </w:rPr>
            </w:pPr>
            <w:r>
              <w:rPr>
                <w:rFonts w:ascii="Times New Roman" w:hAnsi="Times New Roman"/>
                <w:sz w:val="24"/>
              </w:rPr>
              <w:t>0299</w:t>
            </w:r>
          </w:p>
        </w:tc>
        <w:tc>
          <w:tcPr>
            <w:tcW w:w="7540" w:type="dxa"/>
            <w:shd w:val="clear" w:color="auto" w:fill="auto"/>
            <w:vAlign w:val="center"/>
          </w:tcPr>
          <w:p w14:paraId="0906B3E5" w14:textId="38F98C3F" w:rsidR="007453EC" w:rsidRPr="000B6B22" w:rsidRDefault="007453EC">
            <w:pPr>
              <w:spacing w:before="0"/>
              <w:rPr>
                <w:rFonts w:ascii="Times New Roman" w:hAnsi="Times New Roman"/>
                <w:b/>
                <w:bCs/>
                <w:sz w:val="24"/>
              </w:rPr>
            </w:pPr>
            <w:r>
              <w:rPr>
                <w:rFonts w:ascii="Times New Roman" w:hAnsi="Times New Roman"/>
                <w:b/>
                <w:sz w:val="24"/>
              </w:rPr>
              <w:t>1.2.1.3. εξασφαλίσεις που δεν είναι αποδεκτές ως ρευστά στοιχεία ενεργητικού</w:t>
            </w:r>
          </w:p>
          <w:p w14:paraId="6130085E" w14:textId="339EA088" w:rsidR="007453EC" w:rsidRPr="000B6B22" w:rsidRDefault="007453EC">
            <w:pPr>
              <w:spacing w:before="0"/>
              <w:rPr>
                <w:rFonts w:ascii="Times New Roman" w:hAnsi="Times New Roman"/>
                <w:bCs/>
                <w:sz w:val="24"/>
              </w:rPr>
            </w:pPr>
            <w:r>
              <w:rPr>
                <w:rFonts w:ascii="Times New Roman" w:hAnsi="Times New Roman"/>
                <w:sz w:val="24"/>
              </w:rPr>
              <w:t>Τα πιστωτικά ιδρύματα αναφέρουν στη γραμμή 0299 του υποδείγματος C 74.00 του παραρτήματος XXIV τις εξασφαλισμένες πιστοδοτήσεις και τις συναλλαγές με όρους κεφαλαιαγοράς με εναπομένουσα ληκτότητα που δεν υπερβαίνει τις 30 ημέρες, όταν ο αντισυμβαλλόμενος είναι κεντρική τράπεζα και όταν η εξασφάλιση δεν είναι αποδεκτή ως ρευστό στοιχείο ενεργητικού. Τα πιστωτικά ιδρύματα αναφέρουν</w:t>
            </w:r>
          </w:p>
          <w:p w14:paraId="0ABDF67D" w14:textId="6A85A70E" w:rsidR="007453EC" w:rsidRPr="000B6B22" w:rsidRDefault="007453EC">
            <w:pPr>
              <w:numPr>
                <w:ilvl w:val="0"/>
                <w:numId w:val="40"/>
              </w:numPr>
              <w:spacing w:before="0"/>
              <w:rPr>
                <w:rFonts w:ascii="Times New Roman" w:hAnsi="Times New Roman"/>
                <w:bCs/>
                <w:sz w:val="24"/>
              </w:rPr>
            </w:pPr>
            <w:r>
              <w:rPr>
                <w:rFonts w:ascii="Times New Roman" w:hAnsi="Times New Roman"/>
                <w:sz w:val="24"/>
              </w:rPr>
              <w:t>για κάθε μία από τις στήλες 0010, 0020 και 0030, τα συνολικά οφειλόμενα ποσά από τις εν λόγω συναλλαγές ως το άθροισμα των ποσών που οφείλονται από εξασφαλισμένες πιστοδοτήσεις και συναλλαγές με όρους κεφαλαιαγοράς, όταν οι εξασφαλίσεις είναι μη ρευστά ίδια κεφάλαια, και εξασφαλισμένες πιστοδοτήσεις και συναλλαγές με όρους κεφαλαιαγοράς καλυπτόμενες από άλλες μη ρευστές εξασφαλίσεις· και</w:t>
            </w:r>
          </w:p>
          <w:p w14:paraId="34A5C1F3" w14:textId="2466B6A7" w:rsidR="007453EC" w:rsidRPr="000B6B22" w:rsidRDefault="007453EC">
            <w:pPr>
              <w:numPr>
                <w:ilvl w:val="0"/>
                <w:numId w:val="40"/>
              </w:numPr>
              <w:spacing w:before="0"/>
              <w:rPr>
                <w:rFonts w:ascii="Times New Roman" w:hAnsi="Times New Roman"/>
                <w:bCs/>
                <w:sz w:val="24"/>
              </w:rPr>
            </w:pPr>
            <w:r>
              <w:rPr>
                <w:rFonts w:ascii="Times New Roman" w:hAnsi="Times New Roman"/>
                <w:sz w:val="24"/>
              </w:rPr>
              <w:t>για κάθε μία από τις στήλες 0140, 0150 και 0160, τις συνολικές εισροές από τις εν λόγω συναλλαγές ως το άθροισμα των εισροών από εξασφαλισμένες πιστοδοτήσεις και συναλλαγές με όρους κεφαλαιαγοράς, όταν οι εξασφαλίσεις είναι μη ρευστά ίδια κεφάλαια, και εξασφαλισμένες πιστοδοτήσεις και συναλλαγές με όρους κεφαλαιαγοράς καλυπτόμενες από άλλες μη ρευστές εξασφαλίσεις.</w:t>
            </w:r>
          </w:p>
        </w:tc>
      </w:tr>
      <w:tr w:rsidR="00B47B7D" w:rsidRPr="000B6B22" w14:paraId="1B116A0E" w14:textId="77777777" w:rsidTr="00454544">
        <w:tc>
          <w:tcPr>
            <w:tcW w:w="756" w:type="dxa"/>
            <w:shd w:val="clear" w:color="auto" w:fill="auto"/>
            <w:vAlign w:val="center"/>
          </w:tcPr>
          <w:p w14:paraId="59EC0ABC" w14:textId="56FB95E8" w:rsidR="007453EC" w:rsidRPr="000B6B22" w:rsidRDefault="00DF552C" w:rsidP="009D4EFF">
            <w:pPr>
              <w:spacing w:before="0"/>
              <w:rPr>
                <w:rFonts w:ascii="Times New Roman" w:hAnsi="Times New Roman"/>
                <w:sz w:val="24"/>
              </w:rPr>
            </w:pPr>
            <w:r>
              <w:rPr>
                <w:rFonts w:ascii="Times New Roman" w:hAnsi="Times New Roman"/>
                <w:sz w:val="24"/>
              </w:rPr>
              <w:t>0301</w:t>
            </w:r>
          </w:p>
        </w:tc>
        <w:tc>
          <w:tcPr>
            <w:tcW w:w="7540" w:type="dxa"/>
            <w:shd w:val="clear" w:color="auto" w:fill="auto"/>
            <w:vAlign w:val="center"/>
          </w:tcPr>
          <w:p w14:paraId="4F64A750" w14:textId="5ECB3B95" w:rsidR="007453EC" w:rsidRPr="000B6B22" w:rsidRDefault="007453EC">
            <w:pPr>
              <w:spacing w:before="0"/>
              <w:rPr>
                <w:rFonts w:ascii="Times New Roman" w:hAnsi="Times New Roman"/>
                <w:b/>
                <w:bCs/>
                <w:sz w:val="24"/>
              </w:rPr>
            </w:pPr>
            <w:r>
              <w:rPr>
                <w:rFonts w:ascii="Times New Roman" w:hAnsi="Times New Roman"/>
                <w:b/>
                <w:sz w:val="24"/>
              </w:rPr>
              <w:t>1.2.1.3.1. οι εξασφαλίσεις είναι μη ρευστά ίδια κεφάλαια</w:t>
            </w:r>
          </w:p>
          <w:p w14:paraId="637379CF" w14:textId="7C7F66ED" w:rsidR="007453EC" w:rsidRPr="000B6B22" w:rsidRDefault="000378A5">
            <w:pPr>
              <w:spacing w:before="0"/>
              <w:rPr>
                <w:rFonts w:ascii="Times New Roman" w:hAnsi="Times New Roman"/>
                <w:bCs/>
                <w:sz w:val="24"/>
              </w:rPr>
            </w:pPr>
            <w:r>
              <w:rPr>
                <w:rFonts w:ascii="Times New Roman" w:hAnsi="Times New Roman"/>
                <w:sz w:val="24"/>
              </w:rPr>
              <w:lastRenderedPageBreak/>
              <w:t>Άρθρο 32 παράγραφος 3 στοιχείο β) του κατ’ εξουσιοδότηση κανονισμού (ΕΕ) 2015/61</w:t>
            </w:r>
          </w:p>
          <w:p w14:paraId="6014DA8E" w14:textId="77777777" w:rsidR="007453EC" w:rsidRPr="000B6B22" w:rsidRDefault="007453EC">
            <w:pPr>
              <w:spacing w:before="0"/>
              <w:rPr>
                <w:rFonts w:ascii="Times New Roman" w:hAnsi="Times New Roman"/>
                <w:bCs/>
                <w:sz w:val="24"/>
              </w:rPr>
            </w:pPr>
            <w:r>
              <w:rPr>
                <w:rFonts w:ascii="Times New Roman" w:hAnsi="Times New Roman"/>
                <w:sz w:val="24"/>
              </w:rPr>
              <w:t>Εξασφαλισμένες πιστοδοτήσεις και συναλλαγές με όρους κεφαλαιαγοράς με εναπομένουσα ληκτότητα που δεν υπερβαίνει τις 30 ημέρες, όταν ο αντισυμβαλλόμενος είναι κεντρική τράπεζα και όταν η συναλλαγή εξασφαλίζεται με μη ρευστά ίδια κεφάλαια.</w:t>
            </w:r>
          </w:p>
        </w:tc>
      </w:tr>
      <w:tr w:rsidR="00B47B7D" w:rsidRPr="000B6B22" w14:paraId="6F632AA8" w14:textId="77777777" w:rsidTr="00454544">
        <w:tc>
          <w:tcPr>
            <w:tcW w:w="756" w:type="dxa"/>
            <w:shd w:val="clear" w:color="auto" w:fill="auto"/>
            <w:vAlign w:val="center"/>
          </w:tcPr>
          <w:p w14:paraId="061E6738" w14:textId="3E18A52A" w:rsidR="007453EC" w:rsidRPr="000B6B22" w:rsidRDefault="00DF552C" w:rsidP="009D4EFF">
            <w:pPr>
              <w:spacing w:before="0"/>
              <w:rPr>
                <w:rFonts w:ascii="Times New Roman" w:hAnsi="Times New Roman"/>
                <w:sz w:val="24"/>
              </w:rPr>
            </w:pPr>
            <w:r>
              <w:rPr>
                <w:rFonts w:ascii="Times New Roman" w:hAnsi="Times New Roman"/>
                <w:sz w:val="24"/>
              </w:rPr>
              <w:lastRenderedPageBreak/>
              <w:t>0303</w:t>
            </w:r>
          </w:p>
        </w:tc>
        <w:tc>
          <w:tcPr>
            <w:tcW w:w="7540" w:type="dxa"/>
            <w:shd w:val="clear" w:color="auto" w:fill="auto"/>
            <w:vAlign w:val="center"/>
          </w:tcPr>
          <w:p w14:paraId="576A716F" w14:textId="74C78E7C" w:rsidR="007453EC" w:rsidRPr="000B6B22" w:rsidRDefault="007453EC">
            <w:pPr>
              <w:spacing w:before="0"/>
              <w:rPr>
                <w:rFonts w:ascii="Times New Roman" w:hAnsi="Times New Roman"/>
                <w:b/>
                <w:bCs/>
                <w:sz w:val="24"/>
              </w:rPr>
            </w:pPr>
            <w:r>
              <w:rPr>
                <w:rFonts w:ascii="Times New Roman" w:hAnsi="Times New Roman"/>
                <w:b/>
                <w:sz w:val="24"/>
              </w:rPr>
              <w:t>1.2.1.3.2 όλες οι άλλες εξασφαλίσεις με μη ρευστά στοιχεία</w:t>
            </w:r>
          </w:p>
          <w:p w14:paraId="298EA1F7" w14:textId="15861E17" w:rsidR="007453EC" w:rsidRPr="000B6B22" w:rsidRDefault="000378A5">
            <w:pPr>
              <w:spacing w:before="0"/>
              <w:rPr>
                <w:rFonts w:ascii="Times New Roman" w:hAnsi="Times New Roman"/>
                <w:bCs/>
                <w:sz w:val="24"/>
              </w:rPr>
            </w:pPr>
            <w:r>
              <w:rPr>
                <w:rFonts w:ascii="Times New Roman" w:hAnsi="Times New Roman"/>
                <w:sz w:val="24"/>
              </w:rPr>
              <w:t>Άρθρο 32 παράγραφος 3 στοιχείο β) του κατ’ εξουσιοδότηση κανονισμού (ΕΕ) 2015/61</w:t>
            </w:r>
          </w:p>
          <w:p w14:paraId="5FE8571F" w14:textId="330B69E7" w:rsidR="007453EC" w:rsidRPr="000B6B22" w:rsidRDefault="007453EC">
            <w:pPr>
              <w:spacing w:before="0"/>
              <w:rPr>
                <w:rFonts w:ascii="Times New Roman" w:hAnsi="Times New Roman"/>
                <w:bCs/>
                <w:sz w:val="24"/>
              </w:rPr>
            </w:pPr>
            <w:r>
              <w:rPr>
                <w:rFonts w:ascii="Times New Roman" w:hAnsi="Times New Roman"/>
                <w:sz w:val="24"/>
              </w:rPr>
              <w:t>Εξασφαλισμένες πιστοδοτήσεις και συναλλαγές με όρους κεφαλαιαγοράς με εναπομένουσα ληκτότητα που δεν υπερβαίνει τις 30 ημέρες, όταν ο αντισυμβαλλόμενος είναι κεντρική τράπεζα και όταν η συναλλαγή εξασφαλίζεται με μη ρευστά στοιχεία ενεργητικού που δεν έχουν ήδη αποτυπωθεί στο τμήμα 1.2.1.3.1.</w:t>
            </w:r>
          </w:p>
        </w:tc>
      </w:tr>
      <w:tr w:rsidR="00B47B7D" w:rsidRPr="000B6B22" w14:paraId="5E0DE273" w14:textId="77777777" w:rsidTr="00454544">
        <w:tc>
          <w:tcPr>
            <w:tcW w:w="756" w:type="dxa"/>
            <w:shd w:val="clear" w:color="auto" w:fill="auto"/>
            <w:vAlign w:val="center"/>
          </w:tcPr>
          <w:p w14:paraId="4A686C89" w14:textId="20B35606" w:rsidR="007453EC" w:rsidRPr="000B6B22" w:rsidRDefault="00DF552C" w:rsidP="009D4EFF">
            <w:pPr>
              <w:spacing w:before="0"/>
              <w:rPr>
                <w:rFonts w:ascii="Times New Roman" w:hAnsi="Times New Roman"/>
                <w:sz w:val="24"/>
              </w:rPr>
            </w:pPr>
            <w:r>
              <w:rPr>
                <w:rFonts w:ascii="Times New Roman" w:hAnsi="Times New Roman"/>
                <w:sz w:val="24"/>
              </w:rPr>
              <w:t>0305</w:t>
            </w:r>
          </w:p>
        </w:tc>
        <w:tc>
          <w:tcPr>
            <w:tcW w:w="7540" w:type="dxa"/>
            <w:shd w:val="clear" w:color="auto" w:fill="auto"/>
            <w:vAlign w:val="center"/>
          </w:tcPr>
          <w:p w14:paraId="2318A734" w14:textId="77777777" w:rsidR="007453EC" w:rsidRPr="000B6B22" w:rsidRDefault="007453EC">
            <w:pPr>
              <w:spacing w:before="0"/>
              <w:rPr>
                <w:rFonts w:ascii="Times New Roman" w:hAnsi="Times New Roman"/>
                <w:b/>
                <w:bCs/>
                <w:sz w:val="24"/>
              </w:rPr>
            </w:pPr>
            <w:r>
              <w:rPr>
                <w:rFonts w:ascii="Times New Roman" w:hAnsi="Times New Roman"/>
                <w:b/>
                <w:sz w:val="24"/>
              </w:rPr>
              <w:t>1.2.2. ο αντισυμβαλλόμενος δεν είναι κεντρική τράπεζα</w:t>
            </w:r>
          </w:p>
          <w:p w14:paraId="03D32ACB" w14:textId="77777777" w:rsidR="007453EC" w:rsidRPr="000B6B22" w:rsidRDefault="007453EC">
            <w:pPr>
              <w:spacing w:before="0"/>
              <w:rPr>
                <w:rFonts w:ascii="Times New Roman" w:hAnsi="Times New Roman"/>
                <w:sz w:val="24"/>
              </w:rPr>
            </w:pPr>
            <w:r>
              <w:rPr>
                <w:rFonts w:ascii="Times New Roman" w:hAnsi="Times New Roman"/>
                <w:sz w:val="24"/>
              </w:rPr>
              <w:t>Τα πιστωτικά ιδρύματα αναφέρουν εδώ εισροές που προκύπτουν από εξασφαλισμένες πιστοδοτήσεις και από συναλλαγές με όρους κεφαλαιαγοράς, όπως ορίζονται στο άρθρο 192 σημεία 2) και 3) του κανονισμού (ΕΕ) αριθ. 575/2013, με εναπομένουσα ληκτότητα που δεν υπερβαίνει τις 30 ημέρες, όταν ο αντισυμβαλλόμενος δεν είναι κεντρική τράπεζα.</w:t>
            </w:r>
          </w:p>
          <w:p w14:paraId="571D6A5D" w14:textId="678151A7" w:rsidR="007453EC" w:rsidRPr="000B6B22" w:rsidRDefault="007453EC">
            <w:pPr>
              <w:spacing w:before="0"/>
              <w:rPr>
                <w:rFonts w:ascii="Times New Roman" w:hAnsi="Times New Roman"/>
                <w:sz w:val="24"/>
              </w:rPr>
            </w:pPr>
            <w:r>
              <w:rPr>
                <w:rFonts w:ascii="Times New Roman" w:hAnsi="Times New Roman"/>
                <w:sz w:val="24"/>
              </w:rPr>
              <w:t>Τα πιστωτικά ιδρύματα αναφέρουν στη γραμμή 0305 του υποδείγματος C 74.00 του παραρτήματος XXIV</w:t>
            </w:r>
          </w:p>
          <w:p w14:paraId="1E86499A" w14:textId="1379F418" w:rsidR="007453EC" w:rsidRPr="000B6B22" w:rsidRDefault="007453EC">
            <w:pPr>
              <w:spacing w:before="0"/>
              <w:ind w:left="720" w:hanging="360"/>
              <w:rPr>
                <w:rFonts w:ascii="Times New Roman" w:hAnsi="Times New Roman"/>
                <w:bCs/>
                <w:sz w:val="24"/>
              </w:rPr>
            </w:pPr>
            <w:r>
              <w:rPr>
                <w:rFonts w:ascii="Times New Roman" w:hAnsi="Times New Roman"/>
                <w:sz w:val="24"/>
              </w:rPr>
              <w:t></w:t>
            </w:r>
            <w:r>
              <w:tab/>
            </w:r>
            <w:r>
              <w:rPr>
                <w:rFonts w:ascii="Times New Roman" w:hAnsi="Times New Roman"/>
                <w:sz w:val="24"/>
              </w:rPr>
              <w:t>για κάθε μία από τις στήλες 0010, 0020 και 0030, το συνολικό ποσό των οφειλόμενων χρημάτων από εξασφαλισμένες πιστοδοτήσεις και από συναλλαγές με όρους κεφαλαιαγοράς, όταν ο αντισυμβαλλόμενος δεν είναι κεντρική τράπεζα· και</w:t>
            </w:r>
          </w:p>
          <w:p w14:paraId="20C26E4A" w14:textId="489604E0" w:rsidR="007453EC" w:rsidRPr="000B6B22" w:rsidRDefault="007453EC">
            <w:pPr>
              <w:spacing w:before="0"/>
              <w:ind w:left="720" w:hanging="360"/>
              <w:rPr>
                <w:rFonts w:ascii="Times New Roman" w:hAnsi="Times New Roman"/>
                <w:bCs/>
                <w:sz w:val="24"/>
              </w:rPr>
            </w:pPr>
            <w:r>
              <w:rPr>
                <w:rFonts w:ascii="Times New Roman" w:hAnsi="Times New Roman"/>
                <w:sz w:val="24"/>
              </w:rPr>
              <w:t></w:t>
            </w:r>
            <w:r>
              <w:tab/>
            </w:r>
            <w:r>
              <w:rPr>
                <w:rFonts w:ascii="Times New Roman" w:hAnsi="Times New Roman"/>
                <w:sz w:val="24"/>
              </w:rPr>
              <w:t>για κάθε μία από τις στήλες 0140, 0150 και 0160, τις συνολικές εισροές από εξασφαλισμένες πιστοδοτήσεις και από συναλλαγές με όρους κεφαλαιαγοράς, όταν ο αντισυμβαλλόμενος δεν είναι κεντρική τράπεζα.</w:t>
            </w:r>
          </w:p>
        </w:tc>
      </w:tr>
      <w:tr w:rsidR="00B47B7D" w:rsidRPr="000B6B22" w14:paraId="2249B0F8" w14:textId="77777777" w:rsidTr="00454544">
        <w:tc>
          <w:tcPr>
            <w:tcW w:w="756" w:type="dxa"/>
            <w:shd w:val="clear" w:color="auto" w:fill="auto"/>
            <w:vAlign w:val="center"/>
          </w:tcPr>
          <w:p w14:paraId="55B54040" w14:textId="25414A70" w:rsidR="007453EC" w:rsidRPr="000B6B22" w:rsidRDefault="00DF552C" w:rsidP="009D4EFF">
            <w:pPr>
              <w:spacing w:before="0"/>
              <w:rPr>
                <w:rFonts w:ascii="Times New Roman" w:hAnsi="Times New Roman"/>
                <w:sz w:val="24"/>
              </w:rPr>
            </w:pPr>
            <w:r>
              <w:rPr>
                <w:rFonts w:ascii="Times New Roman" w:hAnsi="Times New Roman"/>
                <w:sz w:val="24"/>
              </w:rPr>
              <w:t>0307</w:t>
            </w:r>
          </w:p>
        </w:tc>
        <w:tc>
          <w:tcPr>
            <w:tcW w:w="7540" w:type="dxa"/>
            <w:shd w:val="clear" w:color="auto" w:fill="auto"/>
            <w:vAlign w:val="center"/>
          </w:tcPr>
          <w:p w14:paraId="256EB55D" w14:textId="77777777" w:rsidR="007453EC" w:rsidRPr="000B6B22" w:rsidRDefault="007453EC">
            <w:pPr>
              <w:spacing w:before="0"/>
              <w:rPr>
                <w:rFonts w:ascii="Times New Roman" w:hAnsi="Times New Roman"/>
                <w:b/>
                <w:bCs/>
                <w:sz w:val="24"/>
              </w:rPr>
            </w:pPr>
            <w:r>
              <w:rPr>
                <w:rFonts w:ascii="Times New Roman" w:hAnsi="Times New Roman"/>
                <w:b/>
                <w:sz w:val="24"/>
              </w:rPr>
              <w:t>1.2.2.1. εξασφαλίσεις που χαρακτηρίζονται ως ρευστά στοιχεία ενεργητικού</w:t>
            </w:r>
          </w:p>
          <w:p w14:paraId="233069A8" w14:textId="6726621C" w:rsidR="007453EC" w:rsidRPr="000B6B22" w:rsidRDefault="007453EC">
            <w:pPr>
              <w:spacing w:before="0"/>
              <w:rPr>
                <w:rFonts w:ascii="Times New Roman" w:hAnsi="Times New Roman"/>
                <w:sz w:val="24"/>
              </w:rPr>
            </w:pPr>
            <w:r>
              <w:rPr>
                <w:rFonts w:ascii="Times New Roman" w:hAnsi="Times New Roman"/>
                <w:sz w:val="24"/>
              </w:rPr>
              <w:t>Τα πιστωτικά ιδρύματα αναφέρουν στη γραμμή 0307 του υποδείγματος C 74.00 του παραρτήματος XXIV</w:t>
            </w:r>
          </w:p>
          <w:p w14:paraId="135226B4" w14:textId="3E45DC24" w:rsidR="007453EC" w:rsidRPr="000B6B22" w:rsidRDefault="007453EC">
            <w:pPr>
              <w:spacing w:before="0"/>
              <w:ind w:left="720" w:hanging="360"/>
              <w:rPr>
                <w:rFonts w:ascii="Times New Roman" w:hAnsi="Times New Roman"/>
                <w:sz w:val="24"/>
              </w:rPr>
            </w:pPr>
            <w:r>
              <w:rPr>
                <w:rFonts w:ascii="Times New Roman" w:hAnsi="Times New Roman"/>
                <w:sz w:val="24"/>
              </w:rPr>
              <w:t></w:t>
            </w:r>
            <w:r>
              <w:tab/>
            </w:r>
            <w:r>
              <w:rPr>
                <w:rFonts w:ascii="Times New Roman" w:hAnsi="Times New Roman"/>
                <w:sz w:val="24"/>
              </w:rPr>
              <w:t>για κάθε μία από τις στήλες 0010, 0020 και 0030, το συνολικό ποσό των οφειλόμενων χρημάτων από εξασφαλισμένες πιστοδοτήσεις και από συναλλαγές με όρους κεφαλαιαγοράς με εναπομένουσα ληκτότητα που δεν υπερβαίνει τις 30 ημέρες, όταν ο αντισυμβαλλόμενος δεν είναι κεντρική τράπεζα και όταν η συναλλαγή εξασφαλίζεται με ρευστά στοιχεία ενεργητικού· και</w:t>
            </w:r>
          </w:p>
          <w:p w14:paraId="51A3849B" w14:textId="191B37F5" w:rsidR="007453EC" w:rsidRPr="000B6B22" w:rsidRDefault="007453EC">
            <w:pPr>
              <w:numPr>
                <w:ilvl w:val="0"/>
                <w:numId w:val="40"/>
              </w:numPr>
              <w:spacing w:before="0"/>
              <w:rPr>
                <w:rFonts w:ascii="Times New Roman" w:hAnsi="Times New Roman"/>
                <w:bCs/>
                <w:sz w:val="24"/>
              </w:rPr>
            </w:pPr>
            <w:r>
              <w:rPr>
                <w:rFonts w:ascii="Times New Roman" w:hAnsi="Times New Roman"/>
                <w:sz w:val="24"/>
              </w:rPr>
              <w:t xml:space="preserve">για κάθε μία από τις στήλες 0140, 0150 και 0160, τις συνολικές εισροές από εξασφαλισμένες πιστοδοτήσεις και από συναλλαγές με όρους κεφαλαιαγοράς με εναπομένουσα ληκτότητα που δεν υπερβαίνει τις 30 ημέρες, όταν ο αντισυμβαλλόμενος δεν είναι </w:t>
            </w:r>
            <w:r>
              <w:rPr>
                <w:rFonts w:ascii="Times New Roman" w:hAnsi="Times New Roman"/>
                <w:sz w:val="24"/>
              </w:rPr>
              <w:lastRenderedPageBreak/>
              <w:t>κεντρική τράπεζα και όταν η συναλλαγή εξασφαλίζεται με ρευστά στοιχεία ενεργητικού.</w:t>
            </w:r>
          </w:p>
          <w:p w14:paraId="09231783" w14:textId="553D16FF" w:rsidR="007453EC" w:rsidRPr="000B6B22" w:rsidRDefault="007453EC">
            <w:pPr>
              <w:spacing w:before="0"/>
              <w:rPr>
                <w:rFonts w:ascii="Times New Roman" w:hAnsi="Times New Roman"/>
                <w:bCs/>
                <w:sz w:val="24"/>
              </w:rPr>
            </w:pPr>
            <w:r>
              <w:rPr>
                <w:rFonts w:ascii="Times New Roman" w:hAnsi="Times New Roman"/>
                <w:sz w:val="24"/>
              </w:rPr>
              <w:t>Τα πιστωτικά ιδρύματα αναφέρουν τις εξασφαλισμένες πιστοδοτήσεις και συναλλαγές με όρους κεφαλαιαγοράς με εναπομένουσα ληκτότητα που δεν υπερβαίνει τις 30 ημέρες, όταν ο αντισυμβαλλόμενος δεν είναι κεντρική τράπεζα και όταν η συναλλαγή εξασφαλίζεται με ρευστά στοιχεία ενεργητικού, ανεξάρτητα από το εάν τα εν λόγω στοιχεία ενεργητικού χρησιμοποιούνται εκ νέου σε άλλη συναλλαγή και ανεξάρτητα από το εάν τα ρευστά στοιχεία ενεργητικού που λαμβάνονται πληρούν τις λειτουργικές απαιτήσεις του άρθρου 8 του κατ’ εξουσιοδότηση κανονισμού (ΕΕ) 2015/61.</w:t>
            </w:r>
          </w:p>
        </w:tc>
      </w:tr>
      <w:tr w:rsidR="00B47B7D" w:rsidRPr="000B6B22" w14:paraId="1C457409" w14:textId="77777777" w:rsidTr="00454544">
        <w:tc>
          <w:tcPr>
            <w:tcW w:w="756" w:type="dxa"/>
            <w:shd w:val="clear" w:color="auto" w:fill="auto"/>
            <w:vAlign w:val="center"/>
          </w:tcPr>
          <w:p w14:paraId="0016CC4D" w14:textId="0EC39614" w:rsidR="007453EC" w:rsidRPr="000B6B22" w:rsidRDefault="00DF552C" w:rsidP="009D4EFF">
            <w:pPr>
              <w:spacing w:before="0"/>
              <w:rPr>
                <w:rFonts w:ascii="Times New Roman" w:hAnsi="Times New Roman"/>
                <w:sz w:val="24"/>
              </w:rPr>
            </w:pPr>
            <w:r>
              <w:rPr>
                <w:rFonts w:ascii="Times New Roman" w:hAnsi="Times New Roman"/>
                <w:sz w:val="24"/>
              </w:rPr>
              <w:lastRenderedPageBreak/>
              <w:t>0309</w:t>
            </w:r>
          </w:p>
        </w:tc>
        <w:tc>
          <w:tcPr>
            <w:tcW w:w="7540" w:type="dxa"/>
            <w:shd w:val="clear" w:color="auto" w:fill="auto"/>
            <w:vAlign w:val="center"/>
          </w:tcPr>
          <w:p w14:paraId="05A84DEA" w14:textId="77777777" w:rsidR="007453EC" w:rsidRPr="000B6B22" w:rsidRDefault="007453EC">
            <w:pPr>
              <w:spacing w:before="0"/>
              <w:rPr>
                <w:rFonts w:ascii="Times New Roman" w:hAnsi="Times New Roman"/>
                <w:b/>
                <w:bCs/>
                <w:sz w:val="24"/>
              </w:rPr>
            </w:pPr>
            <w:r>
              <w:rPr>
                <w:rFonts w:ascii="Times New Roman" w:hAnsi="Times New Roman"/>
                <w:b/>
                <w:sz w:val="24"/>
              </w:rPr>
              <w:t>1.2.2.1.1. Εξασφαλίσεις επιπέδου 1, εξαιρουμένων των εξαιρετικά υψηλής ποιότητας καλυμμένων ομολόγων</w:t>
            </w:r>
          </w:p>
          <w:p w14:paraId="24C1B65E" w14:textId="0065B9D3" w:rsidR="007453EC" w:rsidRPr="000B6B22" w:rsidRDefault="000378A5">
            <w:pPr>
              <w:spacing w:before="0"/>
              <w:rPr>
                <w:rFonts w:ascii="Times New Roman" w:hAnsi="Times New Roman"/>
                <w:bCs/>
                <w:sz w:val="24"/>
              </w:rPr>
            </w:pPr>
            <w:r>
              <w:rPr>
                <w:rFonts w:ascii="Times New Roman" w:hAnsi="Times New Roman"/>
                <w:sz w:val="24"/>
              </w:rPr>
              <w:t>Άρθρο 32 παράγραφος 3 στοιχείο β) του κατ’ εξουσιοδότηση κανονισμού (ΕΕ) 2015/61</w:t>
            </w:r>
          </w:p>
          <w:p w14:paraId="367E09A9" w14:textId="59968CF9" w:rsidR="007453EC" w:rsidRPr="000B6B22" w:rsidRDefault="007453EC">
            <w:pPr>
              <w:spacing w:before="0"/>
              <w:rPr>
                <w:rFonts w:ascii="Times New Roman" w:hAnsi="Times New Roman"/>
                <w:sz w:val="24"/>
              </w:rPr>
            </w:pPr>
            <w:r>
              <w:rPr>
                <w:rFonts w:ascii="Times New Roman" w:hAnsi="Times New Roman"/>
                <w:sz w:val="24"/>
              </w:rPr>
              <w:t>Εξασφαλισμένες πιστοδοτήσεις και συναλλαγές με όρους κεφαλαιαγοράς με εναπομένουσα ληκτότητα που δεν υπερβαίνει τις 30 ημέρες, όταν ο αντισυμβαλλόμενος δεν είναι κεντρική τράπεζα και όταν η συναλλαγή εξασφαλίζεται με στοιχεία ενεργητικού τα οποία, ανεξάρτητα από το εάν χρησιμοποιούνται εκ νέου σε άλλη συναλλαγή, θα μπορούσαν να χαρακτηριστούν βάσει των άρθρων 7 και 10 του κατ’ εξουσιοδότηση κανονισμού (ΕΕ) 2015/61 ως ρευστά στοιχεία ενεργητικού οποιασδήποτε από τις κατηγορίες στοιχείων ενεργητικού επιπέδου 1 που αναφέρονται στο άρθρο 10, με εξαίρεση τα εξαιρετικά υψηλής ποιότητας καλυμμένα ομόλογα που αναφέρονται στο άρθρο 10 παράγραφος 1 στοιχείο στ).</w:t>
            </w:r>
          </w:p>
        </w:tc>
      </w:tr>
      <w:tr w:rsidR="00B47B7D" w:rsidRPr="000B6B22" w14:paraId="33E90C62" w14:textId="77777777" w:rsidTr="00454544">
        <w:tc>
          <w:tcPr>
            <w:tcW w:w="756" w:type="dxa"/>
            <w:shd w:val="clear" w:color="auto" w:fill="auto"/>
            <w:vAlign w:val="center"/>
          </w:tcPr>
          <w:p w14:paraId="2F81365E" w14:textId="37F137CA" w:rsidR="007453EC" w:rsidRPr="000B6B22" w:rsidRDefault="00DF552C" w:rsidP="009D4EFF">
            <w:pPr>
              <w:spacing w:before="0"/>
              <w:rPr>
                <w:rFonts w:ascii="Times New Roman" w:hAnsi="Times New Roman"/>
                <w:sz w:val="24"/>
              </w:rPr>
            </w:pPr>
            <w:r>
              <w:rPr>
                <w:rFonts w:ascii="Times New Roman" w:hAnsi="Times New Roman"/>
                <w:sz w:val="24"/>
              </w:rPr>
              <w:t>0311</w:t>
            </w:r>
          </w:p>
        </w:tc>
        <w:tc>
          <w:tcPr>
            <w:tcW w:w="7540" w:type="dxa"/>
            <w:shd w:val="clear" w:color="auto" w:fill="auto"/>
            <w:vAlign w:val="center"/>
          </w:tcPr>
          <w:p w14:paraId="0B0F775D" w14:textId="77777777" w:rsidR="007453EC" w:rsidRPr="000B6B22" w:rsidRDefault="007453EC">
            <w:pPr>
              <w:spacing w:before="0"/>
              <w:rPr>
                <w:rFonts w:ascii="Times New Roman" w:hAnsi="Times New Roman"/>
                <w:b/>
                <w:bCs/>
                <w:sz w:val="24"/>
              </w:rPr>
            </w:pPr>
            <w:r>
              <w:rPr>
                <w:rFonts w:ascii="Times New Roman" w:hAnsi="Times New Roman"/>
                <w:b/>
                <w:sz w:val="24"/>
              </w:rPr>
              <w:t>1.2.2.1.1.1.</w:t>
            </w:r>
            <w:r>
              <w:rPr>
                <w:rFonts w:ascii="Times New Roman" w:hAnsi="Times New Roman"/>
                <w:sz w:val="24"/>
              </w:rPr>
              <w:t xml:space="preserve"> </w:t>
            </w:r>
            <w:r>
              <w:rPr>
                <w:rFonts w:ascii="Times New Roman" w:hAnsi="Times New Roman"/>
                <w:b/>
                <w:sz w:val="24"/>
              </w:rPr>
              <w:t>των οποίων οι ληφθείσες εξασφαλίσεις πληρούν τις λειτουργικές απαιτήσεις</w:t>
            </w:r>
          </w:p>
          <w:p w14:paraId="6B62DBA3" w14:textId="5EDB54A4" w:rsidR="007453EC" w:rsidRPr="000B6B22" w:rsidRDefault="000378A5">
            <w:pPr>
              <w:spacing w:before="0"/>
              <w:rPr>
                <w:rFonts w:ascii="Times New Roman" w:hAnsi="Times New Roman"/>
                <w:bCs/>
                <w:sz w:val="24"/>
              </w:rPr>
            </w:pPr>
            <w:r>
              <w:rPr>
                <w:rFonts w:ascii="Times New Roman" w:hAnsi="Times New Roman"/>
                <w:sz w:val="24"/>
              </w:rPr>
              <w:t>Άρθρο 32 παράγραφος 3 στοιχείο β) του κατ’ εξουσιοδότηση κανονισμού (ΕΕ) 2015/61</w:t>
            </w:r>
          </w:p>
          <w:p w14:paraId="4A90E68A" w14:textId="1F4AFE4F" w:rsidR="007453EC" w:rsidRPr="000B6B22" w:rsidRDefault="007453EC">
            <w:pPr>
              <w:spacing w:before="0"/>
              <w:rPr>
                <w:rFonts w:ascii="Times New Roman" w:hAnsi="Times New Roman"/>
                <w:bCs/>
                <w:sz w:val="24"/>
              </w:rPr>
            </w:pPr>
            <w:r>
              <w:rPr>
                <w:rFonts w:ascii="Times New Roman" w:hAnsi="Times New Roman"/>
                <w:sz w:val="24"/>
              </w:rPr>
              <w:t>Από τις συναλλαγές που αναφέρονται στο σημείο 1.2.2.1.1, εκείνες οι συναλλαγές των οποίων οι ληφθείσες εξασφαλίσεις πληρούν τις λειτουργικές απαιτήσεις του άρθρου 8 του κατ’ εξουσιοδότηση κανονισμού (ΕΕ) 2015/61.</w:t>
            </w:r>
          </w:p>
        </w:tc>
      </w:tr>
      <w:tr w:rsidR="00B47B7D" w:rsidRPr="000B6B22" w14:paraId="0D64B481" w14:textId="77777777" w:rsidTr="00454544">
        <w:tc>
          <w:tcPr>
            <w:tcW w:w="756" w:type="dxa"/>
            <w:shd w:val="clear" w:color="auto" w:fill="auto"/>
            <w:vAlign w:val="center"/>
          </w:tcPr>
          <w:p w14:paraId="0E8CD3B0" w14:textId="6EEB1A2C" w:rsidR="007453EC" w:rsidRPr="000B6B22" w:rsidRDefault="00DF552C" w:rsidP="009D4EFF">
            <w:pPr>
              <w:spacing w:before="0"/>
              <w:rPr>
                <w:rFonts w:ascii="Times New Roman" w:hAnsi="Times New Roman"/>
                <w:sz w:val="24"/>
              </w:rPr>
            </w:pPr>
            <w:r>
              <w:rPr>
                <w:rFonts w:ascii="Times New Roman" w:hAnsi="Times New Roman"/>
                <w:sz w:val="24"/>
              </w:rPr>
              <w:t>0313</w:t>
            </w:r>
          </w:p>
        </w:tc>
        <w:tc>
          <w:tcPr>
            <w:tcW w:w="7540" w:type="dxa"/>
            <w:shd w:val="clear" w:color="auto" w:fill="auto"/>
            <w:vAlign w:val="center"/>
          </w:tcPr>
          <w:p w14:paraId="4BA1B05F" w14:textId="77777777" w:rsidR="007453EC" w:rsidRPr="000B6B22" w:rsidRDefault="007453EC">
            <w:pPr>
              <w:spacing w:before="0"/>
              <w:rPr>
                <w:rFonts w:ascii="Times New Roman" w:hAnsi="Times New Roman"/>
                <w:b/>
                <w:bCs/>
                <w:sz w:val="24"/>
              </w:rPr>
            </w:pPr>
            <w:r>
              <w:rPr>
                <w:rFonts w:ascii="Times New Roman" w:hAnsi="Times New Roman"/>
                <w:b/>
                <w:sz w:val="24"/>
              </w:rPr>
              <w:t>1.2.2.1.2. Εξασφαλίσεις επιπέδου 1 με εξαιρετικά υψηλής ποιότητας καλυμμένα ομόλογα</w:t>
            </w:r>
          </w:p>
          <w:p w14:paraId="14F81783" w14:textId="090C3E15" w:rsidR="007453EC" w:rsidRPr="000B6B22" w:rsidRDefault="000378A5">
            <w:pPr>
              <w:spacing w:before="0"/>
              <w:rPr>
                <w:rFonts w:ascii="Times New Roman" w:hAnsi="Times New Roman"/>
                <w:bCs/>
                <w:sz w:val="24"/>
              </w:rPr>
            </w:pPr>
            <w:r>
              <w:rPr>
                <w:rFonts w:ascii="Times New Roman" w:hAnsi="Times New Roman"/>
                <w:sz w:val="24"/>
              </w:rPr>
              <w:t>Άρθρο 32 παράγραφος 3 στοιχείο β) του κατ’ εξουσιοδότηση κανονισμού (ΕΕ) 2015/61</w:t>
            </w:r>
          </w:p>
          <w:p w14:paraId="0CAABEC1" w14:textId="3AE6A809" w:rsidR="007453EC" w:rsidRPr="000B6B22" w:rsidRDefault="007453EC">
            <w:pPr>
              <w:spacing w:before="0"/>
              <w:rPr>
                <w:rFonts w:ascii="Times New Roman" w:hAnsi="Times New Roman"/>
                <w:sz w:val="24"/>
              </w:rPr>
            </w:pPr>
            <w:r>
              <w:rPr>
                <w:rFonts w:ascii="Times New Roman" w:hAnsi="Times New Roman"/>
                <w:sz w:val="24"/>
              </w:rPr>
              <w:t>Εξασφαλισμένες πιστοδοτήσεις και συναλλαγές με όρους κεφαλαιαγοράς με εναπομένουσα ληκτότητα που δεν υπερβαίνει τις 30 ημέρες, όταν ο αντισυμβαλλόμενος δεν είναι κεντρική τράπεζα και όταν η συναλλαγή εξασφαλίζεται με στοιχεία ενεργητικού τα οποία, ανεξάρτητα από το εάν χρησιμοποιούνται εκ νέου σε άλλη συναλλαγή, θα μπορούσαν να χαρακτηριστούν βάσει των άρθρων 7 και 10 του κατ’ εξουσιοδότηση κανονισμού (ΕΕ) 2015/61 ως ρευστά στοιχεία ενεργητικού της κατηγορίας που αναφέρεται στο άρθρο 10 παράγραφος 1 στοιχείο στ).</w:t>
            </w:r>
          </w:p>
        </w:tc>
      </w:tr>
      <w:tr w:rsidR="00B47B7D" w:rsidRPr="000B6B22" w14:paraId="5844282E" w14:textId="77777777" w:rsidTr="00454544">
        <w:tc>
          <w:tcPr>
            <w:tcW w:w="756" w:type="dxa"/>
            <w:shd w:val="clear" w:color="auto" w:fill="auto"/>
            <w:vAlign w:val="center"/>
          </w:tcPr>
          <w:p w14:paraId="6B6D69CA" w14:textId="399CA4CA" w:rsidR="007453EC" w:rsidRPr="000B6B22" w:rsidRDefault="00DF552C" w:rsidP="009D4EFF">
            <w:pPr>
              <w:spacing w:before="0"/>
              <w:rPr>
                <w:rFonts w:ascii="Times New Roman" w:hAnsi="Times New Roman"/>
                <w:sz w:val="24"/>
              </w:rPr>
            </w:pPr>
            <w:r>
              <w:rPr>
                <w:rFonts w:ascii="Times New Roman" w:hAnsi="Times New Roman"/>
                <w:sz w:val="24"/>
              </w:rPr>
              <w:lastRenderedPageBreak/>
              <w:t>0315</w:t>
            </w:r>
          </w:p>
        </w:tc>
        <w:tc>
          <w:tcPr>
            <w:tcW w:w="7540" w:type="dxa"/>
            <w:shd w:val="clear" w:color="auto" w:fill="auto"/>
            <w:vAlign w:val="center"/>
          </w:tcPr>
          <w:p w14:paraId="5F805BAC" w14:textId="77777777" w:rsidR="007453EC" w:rsidRPr="000B6B22" w:rsidRDefault="007453EC">
            <w:pPr>
              <w:spacing w:before="0"/>
              <w:rPr>
                <w:rFonts w:ascii="Times New Roman" w:hAnsi="Times New Roman"/>
                <w:b/>
                <w:bCs/>
                <w:sz w:val="24"/>
              </w:rPr>
            </w:pPr>
            <w:r>
              <w:rPr>
                <w:rFonts w:ascii="Times New Roman" w:hAnsi="Times New Roman"/>
                <w:b/>
                <w:sz w:val="24"/>
              </w:rPr>
              <w:t>1.2.2.1.2.1.</w:t>
            </w:r>
            <w:r>
              <w:rPr>
                <w:rFonts w:ascii="Times New Roman" w:hAnsi="Times New Roman"/>
                <w:sz w:val="24"/>
              </w:rPr>
              <w:t xml:space="preserve"> </w:t>
            </w:r>
            <w:r>
              <w:rPr>
                <w:rFonts w:ascii="Times New Roman" w:hAnsi="Times New Roman"/>
                <w:b/>
                <w:sz w:val="24"/>
              </w:rPr>
              <w:t>των οποίων οι ληφθείσες εξασφαλίσεις πληρούν τις λειτουργικές απαιτήσεις</w:t>
            </w:r>
          </w:p>
          <w:p w14:paraId="5A49C7E6" w14:textId="00D3A644" w:rsidR="007453EC" w:rsidRPr="000B6B22" w:rsidRDefault="000378A5">
            <w:pPr>
              <w:spacing w:before="0"/>
              <w:rPr>
                <w:rFonts w:ascii="Times New Roman" w:hAnsi="Times New Roman"/>
                <w:bCs/>
                <w:sz w:val="24"/>
              </w:rPr>
            </w:pPr>
            <w:r>
              <w:rPr>
                <w:rFonts w:ascii="Times New Roman" w:hAnsi="Times New Roman"/>
                <w:sz w:val="24"/>
              </w:rPr>
              <w:t>Άρθρο 32 παράγραφος 3 στοιχείο β) του κατ’ εξουσιοδότηση κανονισμού (ΕΕ) 2015/61</w:t>
            </w:r>
          </w:p>
          <w:p w14:paraId="5B86AA67" w14:textId="529E2EF5" w:rsidR="007453EC" w:rsidRPr="000B6B22" w:rsidRDefault="007453EC">
            <w:pPr>
              <w:spacing w:before="0"/>
              <w:rPr>
                <w:rFonts w:ascii="Times New Roman" w:hAnsi="Times New Roman"/>
                <w:bCs/>
                <w:sz w:val="24"/>
              </w:rPr>
            </w:pPr>
            <w:r>
              <w:rPr>
                <w:rFonts w:ascii="Times New Roman" w:hAnsi="Times New Roman"/>
                <w:sz w:val="24"/>
              </w:rPr>
              <w:t>Από τις συναλλαγές που αναφέρονται στο σημείο 1.2.2.1.2, εκείνες οι συναλλαγές των οποίων οι ληφθείσες εξασφαλίσεις πληρούν τις λειτουργικές απαιτήσεις του άρθρου 8 του κατ’ εξουσιοδότηση κανονισμού (ΕΕ) 2015/61.</w:t>
            </w:r>
          </w:p>
        </w:tc>
      </w:tr>
      <w:tr w:rsidR="00B47B7D" w:rsidRPr="000B6B22" w14:paraId="1FABBAFF" w14:textId="77777777" w:rsidTr="00454544">
        <w:tc>
          <w:tcPr>
            <w:tcW w:w="756" w:type="dxa"/>
            <w:shd w:val="clear" w:color="auto" w:fill="auto"/>
            <w:vAlign w:val="center"/>
          </w:tcPr>
          <w:p w14:paraId="49C642BA" w14:textId="59FDBDE8" w:rsidR="007453EC" w:rsidRPr="000B6B22" w:rsidRDefault="00DF552C" w:rsidP="009D4EFF">
            <w:pPr>
              <w:spacing w:before="0"/>
              <w:rPr>
                <w:rFonts w:ascii="Times New Roman" w:hAnsi="Times New Roman"/>
                <w:sz w:val="24"/>
              </w:rPr>
            </w:pPr>
            <w:r>
              <w:rPr>
                <w:rFonts w:ascii="Times New Roman" w:hAnsi="Times New Roman"/>
                <w:sz w:val="24"/>
              </w:rPr>
              <w:t>0317</w:t>
            </w:r>
          </w:p>
        </w:tc>
        <w:tc>
          <w:tcPr>
            <w:tcW w:w="7540" w:type="dxa"/>
            <w:shd w:val="clear" w:color="auto" w:fill="auto"/>
            <w:vAlign w:val="center"/>
          </w:tcPr>
          <w:p w14:paraId="55FAC77D" w14:textId="77777777" w:rsidR="007453EC" w:rsidRPr="000B6B22" w:rsidRDefault="007453EC">
            <w:pPr>
              <w:spacing w:before="0"/>
              <w:rPr>
                <w:rFonts w:ascii="Times New Roman" w:hAnsi="Times New Roman"/>
                <w:b/>
                <w:bCs/>
                <w:sz w:val="24"/>
              </w:rPr>
            </w:pPr>
            <w:r>
              <w:rPr>
                <w:rFonts w:ascii="Times New Roman" w:hAnsi="Times New Roman"/>
                <w:b/>
                <w:sz w:val="24"/>
              </w:rPr>
              <w:t>1.2.2.1.3. Εξασφαλίσεις επιπέδου 2Α</w:t>
            </w:r>
          </w:p>
          <w:p w14:paraId="10C3F229" w14:textId="5AA898AD" w:rsidR="007453EC" w:rsidRPr="000B6B22" w:rsidRDefault="000378A5">
            <w:pPr>
              <w:spacing w:before="0"/>
              <w:rPr>
                <w:rFonts w:ascii="Times New Roman" w:hAnsi="Times New Roman"/>
                <w:bCs/>
                <w:sz w:val="24"/>
              </w:rPr>
            </w:pPr>
            <w:r>
              <w:rPr>
                <w:rFonts w:ascii="Times New Roman" w:hAnsi="Times New Roman"/>
                <w:sz w:val="24"/>
              </w:rPr>
              <w:t>Άρθρο 32 παράγραφος 3 στοιχείο β) του κατ’ εξουσιοδότηση κανονισμού (ΕΕ) 2015/61.</w:t>
            </w:r>
          </w:p>
          <w:p w14:paraId="482DCA03" w14:textId="7D0571EF" w:rsidR="007453EC" w:rsidRPr="000B6B22" w:rsidRDefault="007453EC">
            <w:pPr>
              <w:spacing w:before="0"/>
              <w:rPr>
                <w:rFonts w:ascii="Times New Roman" w:hAnsi="Times New Roman"/>
                <w:sz w:val="24"/>
              </w:rPr>
            </w:pPr>
            <w:r>
              <w:rPr>
                <w:rFonts w:ascii="Times New Roman" w:hAnsi="Times New Roman"/>
                <w:sz w:val="24"/>
              </w:rPr>
              <w:t>Εξασφαλισμένες πιστοδοτήσεις και συναλλαγές με όρους κεφαλαιαγοράς με εναπομένουσα ληκτότητα που δεν υπερβαίνει τις 30 ημέρες, όταν ο αντισυμβαλλόμενος δεν είναι κεντρική τράπεζα και όταν η συναλλαγή εξασφαλίζεται με στοιχεία ενεργητικού τα οποία, ανεξάρτητα από το εάν χρησιμοποιούνται εκ νέου σε άλλη συναλλαγή, θα μπορούσαν να χαρακτηριστούν βάσει των άρθρων 7 και 11 του κατ’ εξουσιοδότηση κανονισμού (ΕΕ) 2015/61 ως ρευστά στοιχεία ενεργητικού οποιασδήποτε από τις κατηγορίες στοιχείων ενεργητικού επιπέδου 2Α που αναφέρονται στο άρθρο 11.</w:t>
            </w:r>
          </w:p>
        </w:tc>
      </w:tr>
      <w:tr w:rsidR="00B47B7D" w:rsidRPr="000B6B22" w14:paraId="1FDAA33A" w14:textId="77777777" w:rsidTr="00454544">
        <w:tc>
          <w:tcPr>
            <w:tcW w:w="756" w:type="dxa"/>
            <w:shd w:val="clear" w:color="auto" w:fill="auto"/>
            <w:vAlign w:val="center"/>
          </w:tcPr>
          <w:p w14:paraId="1A317D50" w14:textId="6A53F088" w:rsidR="007453EC" w:rsidRPr="000B6B22" w:rsidRDefault="00DF552C" w:rsidP="009D4EFF">
            <w:pPr>
              <w:spacing w:before="0"/>
              <w:rPr>
                <w:rFonts w:ascii="Times New Roman" w:hAnsi="Times New Roman"/>
                <w:sz w:val="24"/>
              </w:rPr>
            </w:pPr>
            <w:r>
              <w:rPr>
                <w:rFonts w:ascii="Times New Roman" w:hAnsi="Times New Roman"/>
                <w:sz w:val="24"/>
              </w:rPr>
              <w:t>0319</w:t>
            </w:r>
          </w:p>
        </w:tc>
        <w:tc>
          <w:tcPr>
            <w:tcW w:w="7540" w:type="dxa"/>
            <w:shd w:val="clear" w:color="auto" w:fill="auto"/>
            <w:vAlign w:val="center"/>
          </w:tcPr>
          <w:p w14:paraId="77A13422" w14:textId="77777777" w:rsidR="007453EC" w:rsidRPr="000B6B22" w:rsidRDefault="007453EC">
            <w:pPr>
              <w:spacing w:before="0"/>
              <w:rPr>
                <w:rFonts w:ascii="Times New Roman" w:hAnsi="Times New Roman"/>
                <w:b/>
                <w:bCs/>
                <w:sz w:val="24"/>
              </w:rPr>
            </w:pPr>
            <w:r>
              <w:rPr>
                <w:rFonts w:ascii="Times New Roman" w:hAnsi="Times New Roman"/>
                <w:b/>
                <w:sz w:val="24"/>
              </w:rPr>
              <w:t>1.2.2.1.3.1.</w:t>
            </w:r>
            <w:r>
              <w:rPr>
                <w:rFonts w:ascii="Times New Roman" w:hAnsi="Times New Roman"/>
                <w:sz w:val="24"/>
              </w:rPr>
              <w:t xml:space="preserve"> </w:t>
            </w:r>
            <w:r>
              <w:rPr>
                <w:rFonts w:ascii="Times New Roman" w:hAnsi="Times New Roman"/>
                <w:b/>
                <w:sz w:val="24"/>
              </w:rPr>
              <w:t>των οποίων οι ληφθείσες εξασφαλίσεις πληρούν τις λειτουργικές απαιτήσεις</w:t>
            </w:r>
          </w:p>
          <w:p w14:paraId="7E5A06E4" w14:textId="21AF0FCB" w:rsidR="007453EC" w:rsidRPr="000B6B22" w:rsidRDefault="000378A5">
            <w:pPr>
              <w:spacing w:before="0"/>
              <w:rPr>
                <w:rFonts w:ascii="Times New Roman" w:hAnsi="Times New Roman"/>
                <w:bCs/>
                <w:sz w:val="24"/>
              </w:rPr>
            </w:pPr>
            <w:r>
              <w:rPr>
                <w:rFonts w:ascii="Times New Roman" w:hAnsi="Times New Roman"/>
                <w:sz w:val="24"/>
              </w:rPr>
              <w:t>Άρθρο 32 παράγραφος 3 στοιχείο β) του κατ’ εξουσιοδότηση κανονισμού (ΕΕ) 2015/61.</w:t>
            </w:r>
          </w:p>
          <w:p w14:paraId="5EC7537C" w14:textId="4699542E" w:rsidR="007453EC" w:rsidRPr="000B6B22" w:rsidRDefault="007453EC">
            <w:pPr>
              <w:spacing w:before="0"/>
              <w:rPr>
                <w:rFonts w:ascii="Times New Roman" w:hAnsi="Times New Roman"/>
                <w:bCs/>
                <w:sz w:val="24"/>
              </w:rPr>
            </w:pPr>
            <w:r>
              <w:rPr>
                <w:rFonts w:ascii="Times New Roman" w:hAnsi="Times New Roman"/>
                <w:sz w:val="24"/>
              </w:rPr>
              <w:t>Από τις συναλλαγές που αναφέρονται στο σημείο 1.2.2.1.3, εκείνες οι συναλλαγές των οποίων οι ληφθείσες εξασφαλίσεις πληρούν τις λειτουργικές απαιτήσεις του άρθρου 8 του κατ’ εξουσιοδότηση κανονισμού (ΕΕ) 2015/61.</w:t>
            </w:r>
          </w:p>
        </w:tc>
      </w:tr>
      <w:tr w:rsidR="00B47B7D" w:rsidRPr="000B6B22" w14:paraId="3B2FF181" w14:textId="77777777" w:rsidTr="00454544">
        <w:tc>
          <w:tcPr>
            <w:tcW w:w="756" w:type="dxa"/>
            <w:shd w:val="clear" w:color="auto" w:fill="auto"/>
            <w:vAlign w:val="center"/>
          </w:tcPr>
          <w:p w14:paraId="21B4A01E" w14:textId="66E586A8" w:rsidR="007453EC" w:rsidRPr="000B6B22" w:rsidRDefault="00DF552C" w:rsidP="009D4EFF">
            <w:pPr>
              <w:spacing w:before="0"/>
              <w:rPr>
                <w:rFonts w:ascii="Times New Roman" w:hAnsi="Times New Roman"/>
                <w:sz w:val="24"/>
              </w:rPr>
            </w:pPr>
            <w:r>
              <w:rPr>
                <w:rFonts w:ascii="Times New Roman" w:hAnsi="Times New Roman"/>
                <w:sz w:val="24"/>
              </w:rPr>
              <w:t>0321</w:t>
            </w:r>
          </w:p>
        </w:tc>
        <w:tc>
          <w:tcPr>
            <w:tcW w:w="7540" w:type="dxa"/>
            <w:shd w:val="clear" w:color="auto" w:fill="auto"/>
            <w:vAlign w:val="center"/>
          </w:tcPr>
          <w:p w14:paraId="296F73A5" w14:textId="77777777" w:rsidR="007453EC" w:rsidRPr="000B6B22" w:rsidRDefault="007453EC">
            <w:pPr>
              <w:spacing w:before="0"/>
              <w:rPr>
                <w:rFonts w:ascii="Times New Roman" w:hAnsi="Times New Roman"/>
                <w:b/>
                <w:bCs/>
                <w:sz w:val="24"/>
              </w:rPr>
            </w:pPr>
            <w:r>
              <w:rPr>
                <w:rFonts w:ascii="Times New Roman" w:hAnsi="Times New Roman"/>
                <w:b/>
                <w:sz w:val="24"/>
              </w:rPr>
              <w:t>1.2.2.1.4. Εξασφαλίσεις με τίτλους επιπέδου 2B από τιτλοποίηση (στεγαστικά δάνεια ή δάνεια για την αγορά αυτοκινήτου)</w:t>
            </w:r>
          </w:p>
          <w:p w14:paraId="33B44521" w14:textId="2AB2A660" w:rsidR="007453EC" w:rsidRPr="000B6B22" w:rsidRDefault="000378A5">
            <w:pPr>
              <w:spacing w:before="0"/>
              <w:rPr>
                <w:rFonts w:ascii="Times New Roman" w:hAnsi="Times New Roman"/>
                <w:bCs/>
                <w:sz w:val="24"/>
              </w:rPr>
            </w:pPr>
            <w:r>
              <w:rPr>
                <w:rFonts w:ascii="Times New Roman" w:hAnsi="Times New Roman"/>
                <w:sz w:val="24"/>
              </w:rPr>
              <w:t>Άρθρο 32 παράγραφος 3 στοιχείο β) του κατ’ εξουσιοδότηση κανονισμού (ΕΕ) 2015/61</w:t>
            </w:r>
          </w:p>
          <w:p w14:paraId="25CCC1B5" w14:textId="443E748A" w:rsidR="007453EC" w:rsidRPr="000B6B22" w:rsidRDefault="007453EC">
            <w:pPr>
              <w:spacing w:before="0"/>
              <w:rPr>
                <w:rFonts w:ascii="Times New Roman" w:hAnsi="Times New Roman"/>
                <w:sz w:val="24"/>
              </w:rPr>
            </w:pPr>
            <w:r>
              <w:rPr>
                <w:rFonts w:ascii="Times New Roman" w:hAnsi="Times New Roman"/>
                <w:sz w:val="24"/>
              </w:rPr>
              <w:t>Εξασφαλισμένες πιστοδοτήσεις και συναλλαγές με όρους κεφαλαιαγοράς με εναπομένουσα ληκτότητα που δεν υπερβαίνει τις 30 ημέρες, όταν ο αντισυμβαλλόμενος δεν είναι κεντρική τράπεζα και όταν η συναλλαγή εξασφαλίζεται με στοιχεία ενεργητικού τα οποία, ανεξάρτητα από το εάν χρησιμοποιούνται εκ νέου σε άλλη συναλλαγή, θα μπορούσαν να χαρακτηριστούν βάσει των άρθρων 7 και 13 του κατ’ εξουσιοδότηση κανονισμού (ΕΕ) 2015/61 ως ρευστά στοιχεία ενεργητικού οποιασδήποτε από τις κατηγορίες στοιχείων ενεργητικού επιπέδου 2Β που αναφέρονται στο άρθρο 13 παράγραφος 2 στοιχείο ζ) σημεία i), ii) ή iv).</w:t>
            </w:r>
          </w:p>
        </w:tc>
      </w:tr>
      <w:tr w:rsidR="00B47B7D" w:rsidRPr="000B6B22" w14:paraId="6F0D2108" w14:textId="77777777" w:rsidTr="00454544">
        <w:tc>
          <w:tcPr>
            <w:tcW w:w="756" w:type="dxa"/>
            <w:shd w:val="clear" w:color="auto" w:fill="auto"/>
            <w:vAlign w:val="center"/>
          </w:tcPr>
          <w:p w14:paraId="3950B6E8" w14:textId="41C3A6E3" w:rsidR="007453EC" w:rsidRPr="000B6B22" w:rsidRDefault="00DF552C" w:rsidP="009D4EFF">
            <w:pPr>
              <w:spacing w:before="0"/>
              <w:rPr>
                <w:rFonts w:ascii="Times New Roman" w:hAnsi="Times New Roman"/>
                <w:sz w:val="24"/>
              </w:rPr>
            </w:pPr>
            <w:r>
              <w:rPr>
                <w:rFonts w:ascii="Times New Roman" w:hAnsi="Times New Roman"/>
                <w:sz w:val="24"/>
              </w:rPr>
              <w:t>0323</w:t>
            </w:r>
          </w:p>
        </w:tc>
        <w:tc>
          <w:tcPr>
            <w:tcW w:w="7540" w:type="dxa"/>
            <w:shd w:val="clear" w:color="auto" w:fill="auto"/>
            <w:vAlign w:val="center"/>
          </w:tcPr>
          <w:p w14:paraId="6885C256" w14:textId="77777777" w:rsidR="007453EC" w:rsidRPr="000B6B22" w:rsidRDefault="007453EC">
            <w:pPr>
              <w:spacing w:before="0"/>
              <w:rPr>
                <w:rFonts w:ascii="Times New Roman" w:hAnsi="Times New Roman"/>
                <w:b/>
                <w:bCs/>
                <w:sz w:val="24"/>
              </w:rPr>
            </w:pPr>
            <w:r>
              <w:rPr>
                <w:rFonts w:ascii="Times New Roman" w:hAnsi="Times New Roman"/>
                <w:b/>
                <w:sz w:val="24"/>
              </w:rPr>
              <w:t>1.2.2.1.4.1.</w:t>
            </w:r>
            <w:r>
              <w:rPr>
                <w:rFonts w:ascii="Times New Roman" w:hAnsi="Times New Roman"/>
                <w:sz w:val="24"/>
              </w:rPr>
              <w:t xml:space="preserve"> </w:t>
            </w:r>
            <w:r>
              <w:rPr>
                <w:rFonts w:ascii="Times New Roman" w:hAnsi="Times New Roman"/>
                <w:b/>
                <w:sz w:val="24"/>
              </w:rPr>
              <w:t>των οποίων οι ληφθείσες εξασφαλίσεις πληρούν τις λειτουργικές απαιτήσεις</w:t>
            </w:r>
          </w:p>
          <w:p w14:paraId="6E7D5832" w14:textId="748D1B6A" w:rsidR="007453EC" w:rsidRPr="000B6B22" w:rsidRDefault="000378A5">
            <w:pPr>
              <w:spacing w:before="0"/>
              <w:rPr>
                <w:rFonts w:ascii="Times New Roman" w:hAnsi="Times New Roman"/>
                <w:bCs/>
                <w:sz w:val="24"/>
              </w:rPr>
            </w:pPr>
            <w:r>
              <w:rPr>
                <w:rFonts w:ascii="Times New Roman" w:hAnsi="Times New Roman"/>
                <w:sz w:val="24"/>
              </w:rPr>
              <w:lastRenderedPageBreak/>
              <w:t>Άρθρο 32 παράγραφος 3 στοιχείο β) του κατ’ εξουσιοδότηση κανονισμού (ΕΕ) 2015/61</w:t>
            </w:r>
          </w:p>
          <w:p w14:paraId="59AD7923" w14:textId="64619D67" w:rsidR="007453EC" w:rsidRPr="000B6B22" w:rsidRDefault="007453EC">
            <w:pPr>
              <w:spacing w:before="0"/>
              <w:rPr>
                <w:rFonts w:ascii="Times New Roman" w:hAnsi="Times New Roman"/>
                <w:bCs/>
                <w:sz w:val="24"/>
              </w:rPr>
            </w:pPr>
            <w:r>
              <w:rPr>
                <w:rFonts w:ascii="Times New Roman" w:hAnsi="Times New Roman"/>
                <w:sz w:val="24"/>
              </w:rPr>
              <w:t>Από τις συναλλαγές που αναφέρονται στο σημείο 1.2.2.1.4, εκείνες οι συναλλαγές των οποίων οι ληφθείσες εξασφαλίσεις πληρούν τις λειτουργικές απαιτήσεις του άρθρου 8 του κατ’ εξουσιοδότηση κανονισμού (ΕΕ) 2015/61.</w:t>
            </w:r>
          </w:p>
        </w:tc>
      </w:tr>
      <w:tr w:rsidR="00B47B7D" w:rsidRPr="000B6B22" w14:paraId="155E5D8C" w14:textId="77777777" w:rsidTr="00454544">
        <w:tc>
          <w:tcPr>
            <w:tcW w:w="756" w:type="dxa"/>
            <w:shd w:val="clear" w:color="auto" w:fill="auto"/>
            <w:vAlign w:val="center"/>
          </w:tcPr>
          <w:p w14:paraId="65B930A2" w14:textId="62A8A4D0" w:rsidR="007453EC" w:rsidRPr="000B6B22" w:rsidRDefault="00DF552C" w:rsidP="009D4EFF">
            <w:pPr>
              <w:spacing w:before="0"/>
              <w:rPr>
                <w:rFonts w:ascii="Times New Roman" w:hAnsi="Times New Roman"/>
                <w:sz w:val="24"/>
              </w:rPr>
            </w:pPr>
            <w:r>
              <w:rPr>
                <w:rFonts w:ascii="Times New Roman" w:hAnsi="Times New Roman"/>
                <w:sz w:val="24"/>
              </w:rPr>
              <w:lastRenderedPageBreak/>
              <w:t>0325</w:t>
            </w:r>
          </w:p>
        </w:tc>
        <w:tc>
          <w:tcPr>
            <w:tcW w:w="7540" w:type="dxa"/>
            <w:shd w:val="clear" w:color="auto" w:fill="auto"/>
            <w:vAlign w:val="center"/>
          </w:tcPr>
          <w:p w14:paraId="0C8B9317" w14:textId="77777777" w:rsidR="007453EC" w:rsidRPr="000B6B22" w:rsidRDefault="007453EC">
            <w:pPr>
              <w:spacing w:before="0"/>
              <w:rPr>
                <w:rFonts w:ascii="Times New Roman" w:hAnsi="Times New Roman"/>
                <w:b/>
                <w:bCs/>
                <w:sz w:val="24"/>
              </w:rPr>
            </w:pPr>
            <w:r>
              <w:rPr>
                <w:rFonts w:ascii="Times New Roman" w:hAnsi="Times New Roman"/>
                <w:b/>
                <w:sz w:val="24"/>
              </w:rPr>
              <w:t>1.2.2.1.5. εξασφαλίσεις με υψηλής ποιότητας καλυμμένα ομόλογα επιπέδου 2Β</w:t>
            </w:r>
          </w:p>
          <w:p w14:paraId="6196A3D5" w14:textId="2EFC5A67" w:rsidR="007453EC" w:rsidRPr="000B6B22" w:rsidRDefault="000378A5">
            <w:pPr>
              <w:spacing w:before="0"/>
              <w:rPr>
                <w:rFonts w:ascii="Times New Roman" w:hAnsi="Times New Roman"/>
                <w:bCs/>
                <w:sz w:val="24"/>
              </w:rPr>
            </w:pPr>
            <w:r>
              <w:rPr>
                <w:rFonts w:ascii="Times New Roman" w:hAnsi="Times New Roman"/>
                <w:sz w:val="24"/>
              </w:rPr>
              <w:t>Άρθρο 32 παράγραφος 3 στοιχείο β) του κατ’ εξουσιοδότηση κανονισμού (ΕΕ) 2015/61</w:t>
            </w:r>
          </w:p>
          <w:p w14:paraId="6B181158" w14:textId="2224FD35" w:rsidR="007453EC" w:rsidRPr="000B6B22" w:rsidRDefault="007453EC">
            <w:pPr>
              <w:spacing w:before="0"/>
              <w:rPr>
                <w:rFonts w:ascii="Times New Roman" w:hAnsi="Times New Roman"/>
                <w:sz w:val="24"/>
              </w:rPr>
            </w:pPr>
            <w:r>
              <w:rPr>
                <w:rFonts w:ascii="Times New Roman" w:hAnsi="Times New Roman"/>
                <w:sz w:val="24"/>
              </w:rPr>
              <w:t>Εξασφαλισμένες πιστοδοτήσεις και συναλλαγές με όρους κεφαλαιαγοράς με εναπομένουσα ληκτότητα που δεν υπερβαίνει τις 30 ημέρες, όταν ο αντισυμβαλλόμενος δεν είναι κεντρική τράπεζα και όταν η συναλλαγή εξασφαλίζεται με στοιχεία ενεργητικού τα οποία, ανεξάρτητα από το εάν χρησιμοποιούνται εκ νέου σε άλλη συναλλαγή, θα μπορούσαν να χαρακτηριστούν βάσει των άρθρων 7 και 12 του κατ’ εξουσιοδότηση κανονισμού (ΕΕ) 2015/61 ως ρευστά στοιχεία ενεργητικού της κατηγορίας στοιχείων ενεργητικού επιπέδου 2Β που αναφέρεται στο άρθρο 12 παράγραφος 1 στοιχείο ε).</w:t>
            </w:r>
          </w:p>
        </w:tc>
      </w:tr>
      <w:tr w:rsidR="00B47B7D" w:rsidRPr="000B6B22" w14:paraId="5C0BD545" w14:textId="77777777" w:rsidTr="00454544">
        <w:tc>
          <w:tcPr>
            <w:tcW w:w="756" w:type="dxa"/>
            <w:shd w:val="clear" w:color="auto" w:fill="auto"/>
            <w:vAlign w:val="center"/>
          </w:tcPr>
          <w:p w14:paraId="60379202" w14:textId="3B107997" w:rsidR="007453EC" w:rsidRPr="000B6B22" w:rsidRDefault="00DF552C" w:rsidP="009D4EFF">
            <w:pPr>
              <w:spacing w:before="0"/>
              <w:rPr>
                <w:rFonts w:ascii="Times New Roman" w:hAnsi="Times New Roman"/>
                <w:sz w:val="24"/>
              </w:rPr>
            </w:pPr>
            <w:r>
              <w:rPr>
                <w:rFonts w:ascii="Times New Roman" w:hAnsi="Times New Roman"/>
                <w:sz w:val="24"/>
              </w:rPr>
              <w:t>0327</w:t>
            </w:r>
          </w:p>
        </w:tc>
        <w:tc>
          <w:tcPr>
            <w:tcW w:w="7540" w:type="dxa"/>
            <w:shd w:val="clear" w:color="auto" w:fill="auto"/>
            <w:vAlign w:val="center"/>
          </w:tcPr>
          <w:p w14:paraId="4EE941E0" w14:textId="77777777" w:rsidR="007453EC" w:rsidRPr="000B6B22" w:rsidRDefault="007453EC">
            <w:pPr>
              <w:spacing w:before="0"/>
              <w:rPr>
                <w:rFonts w:ascii="Times New Roman" w:hAnsi="Times New Roman"/>
                <w:b/>
                <w:bCs/>
                <w:sz w:val="24"/>
              </w:rPr>
            </w:pPr>
            <w:r>
              <w:rPr>
                <w:rFonts w:ascii="Times New Roman" w:hAnsi="Times New Roman"/>
                <w:b/>
                <w:sz w:val="24"/>
              </w:rPr>
              <w:t>1.2.2.1.5.1.</w:t>
            </w:r>
            <w:r>
              <w:rPr>
                <w:rFonts w:ascii="Times New Roman" w:hAnsi="Times New Roman"/>
                <w:sz w:val="24"/>
              </w:rPr>
              <w:t xml:space="preserve"> </w:t>
            </w:r>
            <w:r>
              <w:rPr>
                <w:rFonts w:ascii="Times New Roman" w:hAnsi="Times New Roman"/>
                <w:b/>
                <w:sz w:val="24"/>
              </w:rPr>
              <w:t>των οποίων οι ληφθείσες εξασφαλίσεις πληρούν τις λειτουργικές απαιτήσεις</w:t>
            </w:r>
          </w:p>
          <w:p w14:paraId="6590FE79" w14:textId="6A57D929" w:rsidR="007453EC" w:rsidRPr="000B6B22" w:rsidRDefault="000378A5">
            <w:pPr>
              <w:spacing w:before="0"/>
              <w:rPr>
                <w:rFonts w:ascii="Times New Roman" w:hAnsi="Times New Roman"/>
                <w:bCs/>
                <w:sz w:val="24"/>
              </w:rPr>
            </w:pPr>
            <w:r>
              <w:rPr>
                <w:rFonts w:ascii="Times New Roman" w:hAnsi="Times New Roman"/>
                <w:sz w:val="24"/>
              </w:rPr>
              <w:t>Άρθρο 32 παράγραφος 3 στοιχείο β) του κατ’ εξουσιοδότηση κανονισμού (ΕΕ) 2015/61</w:t>
            </w:r>
          </w:p>
          <w:p w14:paraId="067F4878" w14:textId="4732EAD0" w:rsidR="007453EC" w:rsidRPr="000B6B22" w:rsidRDefault="007453EC">
            <w:pPr>
              <w:spacing w:before="0"/>
              <w:rPr>
                <w:rFonts w:ascii="Times New Roman" w:hAnsi="Times New Roman"/>
                <w:bCs/>
                <w:sz w:val="24"/>
              </w:rPr>
            </w:pPr>
            <w:r>
              <w:rPr>
                <w:rFonts w:ascii="Times New Roman" w:hAnsi="Times New Roman"/>
                <w:sz w:val="24"/>
              </w:rPr>
              <w:t>Από τις συναλλαγές που αναφέρονται στο σημείο 1.2.2.1.5, εκείνες οι συναλλαγές των οποίων οι ληφθείσες εξασφαλίσεις πληρούν τις λειτουργικές απαιτήσεις του άρθρου 8 του κατ’ εξουσιοδότηση κανονισμού (ΕΕ) 2015/61.</w:t>
            </w:r>
          </w:p>
        </w:tc>
      </w:tr>
      <w:tr w:rsidR="00B47B7D" w:rsidRPr="000B6B22" w14:paraId="3CE902EA" w14:textId="77777777" w:rsidTr="00454544">
        <w:tc>
          <w:tcPr>
            <w:tcW w:w="756" w:type="dxa"/>
            <w:shd w:val="clear" w:color="auto" w:fill="auto"/>
            <w:vAlign w:val="center"/>
          </w:tcPr>
          <w:p w14:paraId="4D01A250" w14:textId="7033BDC9" w:rsidR="007453EC" w:rsidRPr="000B6B22" w:rsidRDefault="00DF552C" w:rsidP="009D4EFF">
            <w:pPr>
              <w:spacing w:before="0"/>
              <w:rPr>
                <w:rFonts w:ascii="Times New Roman" w:hAnsi="Times New Roman"/>
                <w:sz w:val="24"/>
              </w:rPr>
            </w:pPr>
            <w:r>
              <w:rPr>
                <w:rFonts w:ascii="Times New Roman" w:hAnsi="Times New Roman"/>
                <w:sz w:val="24"/>
              </w:rPr>
              <w:t>0329</w:t>
            </w:r>
          </w:p>
        </w:tc>
        <w:tc>
          <w:tcPr>
            <w:tcW w:w="7540" w:type="dxa"/>
            <w:shd w:val="clear" w:color="auto" w:fill="auto"/>
            <w:vAlign w:val="center"/>
          </w:tcPr>
          <w:p w14:paraId="52BCC6A1" w14:textId="77777777" w:rsidR="007453EC" w:rsidRPr="000B6B22" w:rsidRDefault="007453EC">
            <w:pPr>
              <w:spacing w:before="0"/>
              <w:rPr>
                <w:rFonts w:ascii="Times New Roman" w:hAnsi="Times New Roman"/>
                <w:b/>
                <w:bCs/>
                <w:sz w:val="24"/>
              </w:rPr>
            </w:pPr>
            <w:r>
              <w:rPr>
                <w:rFonts w:ascii="Times New Roman" w:hAnsi="Times New Roman"/>
                <w:b/>
                <w:sz w:val="24"/>
              </w:rPr>
              <w:t>1.2.2.1.6. Εξασφαλίσεις με τίτλους επιπέδου 2B από τιτλοποίηση (εμπορικά δάνεια ή δάνεια σε ιδιώτες)</w:t>
            </w:r>
          </w:p>
          <w:p w14:paraId="2F1CFA16" w14:textId="1509FDCF" w:rsidR="007453EC" w:rsidRPr="000B6B22" w:rsidRDefault="000378A5">
            <w:pPr>
              <w:spacing w:before="0"/>
              <w:rPr>
                <w:rFonts w:ascii="Times New Roman" w:hAnsi="Times New Roman"/>
                <w:bCs/>
                <w:sz w:val="24"/>
              </w:rPr>
            </w:pPr>
            <w:r>
              <w:rPr>
                <w:rFonts w:ascii="Times New Roman" w:hAnsi="Times New Roman"/>
                <w:sz w:val="24"/>
              </w:rPr>
              <w:t>Άρθρο 32 παράγραφος 3 στοιχείο β) του κατ’ εξουσιοδότηση κανονισμού (ΕΕ) 2015/61</w:t>
            </w:r>
          </w:p>
          <w:p w14:paraId="05B2F18B" w14:textId="2B09B75D" w:rsidR="007453EC" w:rsidRPr="000B6B22" w:rsidRDefault="007453EC">
            <w:pPr>
              <w:spacing w:before="0"/>
              <w:rPr>
                <w:rFonts w:ascii="Times New Roman" w:hAnsi="Times New Roman"/>
                <w:sz w:val="24"/>
              </w:rPr>
            </w:pPr>
            <w:r>
              <w:rPr>
                <w:rFonts w:ascii="Times New Roman" w:hAnsi="Times New Roman"/>
                <w:sz w:val="24"/>
              </w:rPr>
              <w:t>Εξασφαλισμένες πιστοδοτήσεις και συναλλαγές με όρους κεφαλαιαγοράς με εναπομένουσα ληκτότητα που δεν υπερβαίνει τις 30 ημέρες, όταν ο αντισυμβαλλόμενος δεν είναι κεντρική τράπεζα και όταν η συναλλαγή εξασφαλίζεται με στοιχεία ενεργητικού τα οποία, ανεξάρτητα από το εάν χρησιμοποιούνται εκ νέου σε άλλη συναλλαγή, θα μπορούσαν να χαρακτηριστούν βάσει των άρθρων 7 και 13 του κατ’ εξουσιοδότηση κανονισμού (ΕΕ) 2015/61 ως ρευστά στοιχεία ενεργητικού οποιασδήποτε από τις κατηγορίες στοιχείων ενεργητικού επιπέδου 2Β που αναφέρονται στο άρθρο 13 παράγραφος 2 στοιχείο ζ) σημεία iii) ή v).</w:t>
            </w:r>
          </w:p>
        </w:tc>
      </w:tr>
      <w:tr w:rsidR="00B47B7D" w:rsidRPr="000B6B22" w14:paraId="3E871F05" w14:textId="77777777" w:rsidTr="00454544">
        <w:tc>
          <w:tcPr>
            <w:tcW w:w="756" w:type="dxa"/>
            <w:shd w:val="clear" w:color="auto" w:fill="auto"/>
            <w:vAlign w:val="center"/>
          </w:tcPr>
          <w:p w14:paraId="5221A54C" w14:textId="1677CFE4" w:rsidR="007453EC" w:rsidRPr="000B6B22" w:rsidRDefault="00DF552C" w:rsidP="009D4EFF">
            <w:pPr>
              <w:spacing w:before="0"/>
              <w:rPr>
                <w:rFonts w:ascii="Times New Roman" w:hAnsi="Times New Roman"/>
                <w:sz w:val="24"/>
              </w:rPr>
            </w:pPr>
            <w:r>
              <w:rPr>
                <w:rFonts w:ascii="Times New Roman" w:hAnsi="Times New Roman"/>
                <w:sz w:val="24"/>
              </w:rPr>
              <w:t>0331</w:t>
            </w:r>
          </w:p>
        </w:tc>
        <w:tc>
          <w:tcPr>
            <w:tcW w:w="7540" w:type="dxa"/>
            <w:shd w:val="clear" w:color="auto" w:fill="auto"/>
            <w:vAlign w:val="center"/>
          </w:tcPr>
          <w:p w14:paraId="6FCF29BA" w14:textId="77777777" w:rsidR="007453EC" w:rsidRPr="000B6B22" w:rsidRDefault="007453EC">
            <w:pPr>
              <w:spacing w:before="0"/>
              <w:rPr>
                <w:rFonts w:ascii="Times New Roman" w:hAnsi="Times New Roman"/>
                <w:b/>
                <w:bCs/>
                <w:sz w:val="24"/>
              </w:rPr>
            </w:pPr>
            <w:r>
              <w:rPr>
                <w:rFonts w:ascii="Times New Roman" w:hAnsi="Times New Roman"/>
                <w:b/>
                <w:sz w:val="24"/>
              </w:rPr>
              <w:t>1.2.1.1.6.1.</w:t>
            </w:r>
            <w:r>
              <w:rPr>
                <w:rFonts w:ascii="Times New Roman" w:hAnsi="Times New Roman"/>
                <w:sz w:val="24"/>
              </w:rPr>
              <w:t xml:space="preserve"> </w:t>
            </w:r>
            <w:r>
              <w:rPr>
                <w:rFonts w:ascii="Times New Roman" w:hAnsi="Times New Roman"/>
                <w:b/>
                <w:sz w:val="24"/>
              </w:rPr>
              <w:t>των οποίων οι ληφθείσες εξασφαλίσεις πληρούν τις λειτουργικές απαιτήσεις</w:t>
            </w:r>
          </w:p>
          <w:p w14:paraId="7980AB98" w14:textId="5BB8893C" w:rsidR="007453EC" w:rsidRPr="000B6B22" w:rsidRDefault="000378A5">
            <w:pPr>
              <w:spacing w:before="0"/>
              <w:rPr>
                <w:rFonts w:ascii="Times New Roman" w:hAnsi="Times New Roman"/>
                <w:bCs/>
                <w:sz w:val="24"/>
              </w:rPr>
            </w:pPr>
            <w:r>
              <w:rPr>
                <w:rFonts w:ascii="Times New Roman" w:hAnsi="Times New Roman"/>
                <w:sz w:val="24"/>
              </w:rPr>
              <w:t>Άρθρο 32 παράγραφος 3 στοιχείο β) του κατ’ εξουσιοδότηση κανονισμού (ΕΕ) 2015/61</w:t>
            </w:r>
          </w:p>
          <w:p w14:paraId="5843DD21" w14:textId="5175A52D" w:rsidR="007453EC" w:rsidRPr="000B6B22" w:rsidRDefault="007453EC">
            <w:pPr>
              <w:spacing w:before="0"/>
              <w:rPr>
                <w:rFonts w:ascii="Times New Roman" w:hAnsi="Times New Roman"/>
                <w:bCs/>
                <w:sz w:val="24"/>
              </w:rPr>
            </w:pPr>
            <w:r>
              <w:rPr>
                <w:rFonts w:ascii="Times New Roman" w:hAnsi="Times New Roman"/>
                <w:sz w:val="24"/>
              </w:rPr>
              <w:lastRenderedPageBreak/>
              <w:t>Από τις συναλλαγές που αναφέρονται στο σημείο 1.2.2.1.6, εκείνες οι συναλλαγές των οποίων οι ληφθείσες εξασφαλίσεις πληρούν τις λειτουργικές απαιτήσεις του άρθρου 8 του κατ’ εξουσιοδότηση κανονισμού (ΕΕ) 2015/61.</w:t>
            </w:r>
          </w:p>
        </w:tc>
      </w:tr>
      <w:tr w:rsidR="00B47B7D" w:rsidRPr="000B6B22" w14:paraId="6621789E" w14:textId="77777777" w:rsidTr="00454544">
        <w:tc>
          <w:tcPr>
            <w:tcW w:w="756" w:type="dxa"/>
            <w:shd w:val="clear" w:color="auto" w:fill="auto"/>
            <w:vAlign w:val="center"/>
          </w:tcPr>
          <w:p w14:paraId="60BDC919" w14:textId="6DB28A92" w:rsidR="007453EC" w:rsidRPr="000B6B22" w:rsidRDefault="00DF552C" w:rsidP="009D4EFF">
            <w:pPr>
              <w:spacing w:before="0"/>
              <w:rPr>
                <w:rFonts w:ascii="Times New Roman" w:hAnsi="Times New Roman"/>
                <w:sz w:val="24"/>
              </w:rPr>
            </w:pPr>
            <w:r>
              <w:rPr>
                <w:rFonts w:ascii="Times New Roman" w:hAnsi="Times New Roman"/>
                <w:sz w:val="24"/>
              </w:rPr>
              <w:lastRenderedPageBreak/>
              <w:t>0333</w:t>
            </w:r>
          </w:p>
        </w:tc>
        <w:tc>
          <w:tcPr>
            <w:tcW w:w="7540" w:type="dxa"/>
            <w:shd w:val="clear" w:color="auto" w:fill="auto"/>
            <w:vAlign w:val="center"/>
          </w:tcPr>
          <w:p w14:paraId="6BD8AC74" w14:textId="77777777" w:rsidR="007453EC" w:rsidRPr="000B6B22" w:rsidRDefault="007453EC">
            <w:pPr>
              <w:spacing w:before="0"/>
              <w:rPr>
                <w:rFonts w:ascii="Times New Roman" w:hAnsi="Times New Roman"/>
                <w:b/>
                <w:bCs/>
                <w:sz w:val="24"/>
              </w:rPr>
            </w:pPr>
            <w:r>
              <w:rPr>
                <w:rFonts w:ascii="Times New Roman" w:hAnsi="Times New Roman"/>
                <w:b/>
                <w:sz w:val="24"/>
              </w:rPr>
              <w:t>1.2.2.1.7. Εξασφαλίσεις επιπέδου 2Β που δεν αναφέρονται ήδη στο τμήμα 1.2.2.1.4., 1.2.2.1.5. ή 1.2.2.1.6</w:t>
            </w:r>
          </w:p>
          <w:p w14:paraId="725CDF50" w14:textId="47C90764" w:rsidR="007453EC" w:rsidRPr="000B6B22" w:rsidRDefault="000378A5">
            <w:pPr>
              <w:spacing w:before="0"/>
              <w:rPr>
                <w:rFonts w:ascii="Times New Roman" w:hAnsi="Times New Roman"/>
                <w:bCs/>
                <w:sz w:val="24"/>
              </w:rPr>
            </w:pPr>
            <w:r>
              <w:rPr>
                <w:rFonts w:ascii="Times New Roman" w:hAnsi="Times New Roman"/>
                <w:sz w:val="24"/>
              </w:rPr>
              <w:t>Άρθρο 32 παράγραφος 3 στοιχείο β) του κατ’ εξουσιοδότηση κανονισμού (ΕΕ) 2015/61</w:t>
            </w:r>
          </w:p>
          <w:p w14:paraId="6FF005F5" w14:textId="062D59E7" w:rsidR="007453EC" w:rsidRPr="000B6B22" w:rsidRDefault="007453EC">
            <w:pPr>
              <w:spacing w:before="0"/>
              <w:rPr>
                <w:rFonts w:ascii="Times New Roman" w:hAnsi="Times New Roman"/>
                <w:sz w:val="24"/>
              </w:rPr>
            </w:pPr>
            <w:r>
              <w:rPr>
                <w:rFonts w:ascii="Times New Roman" w:hAnsi="Times New Roman"/>
                <w:sz w:val="24"/>
              </w:rPr>
              <w:t>Εξασφαλισμένες πιστοδοτήσεις και συναλλαγές με όρους κεφαλαιαγοράς με εναπομένουσα ληκτότητα που δεν υπερβαίνει τις 30 ημέρες, όταν ο αντισυμβαλλόμενος δεν είναι κεντρική τράπεζα και όταν η συναλλαγή εξασφαλίζεται με στοιχεία ενεργητικού τα οποία, ανεξάρτητα από το εάν χρησιμοποιούνται εκ νέου σε άλλη συναλλαγή, θα μπορούσαν να χαρακτηριστούν βάσει των άρθρων 7 και 12 του κατ’ εξουσιοδότηση κανονισμού (ΕΕ) 2015/61 ως ρευστά στοιχεία ενεργητικού οποιασδήποτε από τις κατηγορίες στοιχείων ενεργητικού επιπέδου 2Β που αναφέρονται στο άρθρο 12 παράγραφος 1 στοιχεία β), γ) ή στ).</w:t>
            </w:r>
          </w:p>
        </w:tc>
      </w:tr>
      <w:tr w:rsidR="00B47B7D" w:rsidRPr="000B6B22" w14:paraId="46FE74E6" w14:textId="77777777" w:rsidTr="00454544">
        <w:tc>
          <w:tcPr>
            <w:tcW w:w="756" w:type="dxa"/>
            <w:shd w:val="clear" w:color="auto" w:fill="auto"/>
            <w:vAlign w:val="center"/>
          </w:tcPr>
          <w:p w14:paraId="2D1D45E7" w14:textId="3305BD80" w:rsidR="007453EC" w:rsidRPr="000B6B22" w:rsidRDefault="00DF552C" w:rsidP="009D4EFF">
            <w:pPr>
              <w:spacing w:before="0"/>
              <w:rPr>
                <w:rFonts w:ascii="Times New Roman" w:hAnsi="Times New Roman"/>
                <w:sz w:val="24"/>
              </w:rPr>
            </w:pPr>
            <w:r>
              <w:rPr>
                <w:rFonts w:ascii="Times New Roman" w:hAnsi="Times New Roman"/>
                <w:sz w:val="24"/>
              </w:rPr>
              <w:t>0335</w:t>
            </w:r>
          </w:p>
        </w:tc>
        <w:tc>
          <w:tcPr>
            <w:tcW w:w="7540" w:type="dxa"/>
            <w:shd w:val="clear" w:color="auto" w:fill="auto"/>
            <w:vAlign w:val="center"/>
          </w:tcPr>
          <w:p w14:paraId="570F7619" w14:textId="77777777" w:rsidR="007453EC" w:rsidRPr="000B6B22" w:rsidRDefault="007453EC">
            <w:pPr>
              <w:spacing w:before="0"/>
              <w:rPr>
                <w:rFonts w:ascii="Times New Roman" w:hAnsi="Times New Roman"/>
                <w:b/>
                <w:bCs/>
                <w:sz w:val="24"/>
              </w:rPr>
            </w:pPr>
            <w:r>
              <w:rPr>
                <w:rFonts w:ascii="Times New Roman" w:hAnsi="Times New Roman"/>
                <w:b/>
                <w:sz w:val="24"/>
              </w:rPr>
              <w:t>1.2.2.1.7.1.</w:t>
            </w:r>
            <w:r>
              <w:rPr>
                <w:rFonts w:ascii="Times New Roman" w:hAnsi="Times New Roman"/>
                <w:sz w:val="24"/>
              </w:rPr>
              <w:t xml:space="preserve"> </w:t>
            </w:r>
            <w:r>
              <w:rPr>
                <w:rFonts w:ascii="Times New Roman" w:hAnsi="Times New Roman"/>
                <w:b/>
                <w:sz w:val="24"/>
              </w:rPr>
              <w:t>των οποίων οι ληφθείσες εξασφαλίσεις πληρούν τις λειτουργικές απαιτήσεις</w:t>
            </w:r>
          </w:p>
          <w:p w14:paraId="07328C5B" w14:textId="438055C6" w:rsidR="007453EC" w:rsidRPr="000B6B22" w:rsidRDefault="000378A5">
            <w:pPr>
              <w:spacing w:before="0"/>
              <w:rPr>
                <w:rFonts w:ascii="Times New Roman" w:hAnsi="Times New Roman"/>
                <w:bCs/>
                <w:sz w:val="24"/>
              </w:rPr>
            </w:pPr>
            <w:r>
              <w:rPr>
                <w:rFonts w:ascii="Times New Roman" w:hAnsi="Times New Roman"/>
                <w:sz w:val="24"/>
              </w:rPr>
              <w:t>Άρθρο 32 παράγραφος 3 στοιχείο β) του κατ’ εξουσιοδότηση κανονισμού (ΕΕ) 2015/61</w:t>
            </w:r>
          </w:p>
          <w:p w14:paraId="393F286B" w14:textId="2D675503" w:rsidR="007453EC" w:rsidRPr="000B6B22" w:rsidRDefault="007453EC">
            <w:pPr>
              <w:spacing w:before="0"/>
              <w:rPr>
                <w:rFonts w:ascii="Times New Roman" w:hAnsi="Times New Roman"/>
                <w:bCs/>
                <w:sz w:val="24"/>
              </w:rPr>
            </w:pPr>
            <w:r>
              <w:rPr>
                <w:rFonts w:ascii="Times New Roman" w:hAnsi="Times New Roman"/>
                <w:sz w:val="24"/>
              </w:rPr>
              <w:t>Από τις συναλλαγές που αναφέρονται στο σημείο 1.2.2.1.7, εκείνες οι συναλλαγές των οποίων οι ληφθείσες εξασφαλίσεις πληρούν τις λειτουργικές απαιτήσεις του άρθρου 8 του κατ’ εξουσιοδότηση κανονισμού (ΕΕ) 2015/61.</w:t>
            </w:r>
          </w:p>
        </w:tc>
      </w:tr>
      <w:tr w:rsidR="00B47B7D" w:rsidRPr="000B6B22" w14:paraId="2149F2C6" w14:textId="77777777" w:rsidTr="00454544">
        <w:tc>
          <w:tcPr>
            <w:tcW w:w="756" w:type="dxa"/>
            <w:shd w:val="clear" w:color="auto" w:fill="auto"/>
            <w:vAlign w:val="center"/>
          </w:tcPr>
          <w:p w14:paraId="2AD78834" w14:textId="54685628" w:rsidR="007453EC" w:rsidRPr="000B6B22" w:rsidRDefault="00DF552C" w:rsidP="009D4EFF">
            <w:pPr>
              <w:spacing w:before="0"/>
              <w:rPr>
                <w:rFonts w:ascii="Times New Roman" w:hAnsi="Times New Roman"/>
                <w:sz w:val="24"/>
              </w:rPr>
            </w:pPr>
            <w:r>
              <w:rPr>
                <w:rFonts w:ascii="Times New Roman" w:hAnsi="Times New Roman"/>
                <w:sz w:val="24"/>
              </w:rPr>
              <w:t>0337</w:t>
            </w:r>
          </w:p>
        </w:tc>
        <w:tc>
          <w:tcPr>
            <w:tcW w:w="7540" w:type="dxa"/>
            <w:shd w:val="clear" w:color="auto" w:fill="auto"/>
            <w:vAlign w:val="center"/>
          </w:tcPr>
          <w:p w14:paraId="2990F4E7" w14:textId="77777777" w:rsidR="007453EC" w:rsidRPr="000B6B22" w:rsidRDefault="007453EC">
            <w:pPr>
              <w:spacing w:before="0"/>
              <w:rPr>
                <w:rFonts w:ascii="Times New Roman" w:hAnsi="Times New Roman"/>
                <w:b/>
                <w:bCs/>
                <w:sz w:val="24"/>
              </w:rPr>
            </w:pPr>
            <w:r>
              <w:rPr>
                <w:rFonts w:ascii="Times New Roman" w:hAnsi="Times New Roman"/>
                <w:b/>
                <w:sz w:val="24"/>
              </w:rPr>
              <w:t>1.2.2.2. η εξασφάλιση χρησιμοποιείται για την κάλυψη αρνητικής θέσης</w:t>
            </w:r>
          </w:p>
          <w:p w14:paraId="39101CBB" w14:textId="41AEA676" w:rsidR="007453EC" w:rsidRPr="000B6B22" w:rsidRDefault="000378A5">
            <w:pPr>
              <w:spacing w:before="0"/>
              <w:rPr>
                <w:rFonts w:ascii="Times New Roman" w:hAnsi="Times New Roman"/>
                <w:bCs/>
                <w:sz w:val="24"/>
              </w:rPr>
            </w:pPr>
            <w:r>
              <w:rPr>
                <w:rFonts w:ascii="Times New Roman" w:hAnsi="Times New Roman"/>
                <w:sz w:val="24"/>
              </w:rPr>
              <w:t>Άρθρο 32 παράγραφος 3 στοιχείο β) του κατ’ εξουσιοδότηση κανονισμού (ΕΕ) 2015/61</w:t>
            </w:r>
          </w:p>
          <w:p w14:paraId="3A2B1178" w14:textId="4A973BC2" w:rsidR="007453EC" w:rsidRPr="000B6B22" w:rsidRDefault="007453EC">
            <w:pPr>
              <w:spacing w:before="0"/>
              <w:rPr>
                <w:rFonts w:ascii="Times New Roman" w:hAnsi="Times New Roman"/>
                <w:sz w:val="24"/>
              </w:rPr>
            </w:pPr>
            <w:r>
              <w:rPr>
                <w:rFonts w:ascii="Times New Roman" w:hAnsi="Times New Roman"/>
                <w:sz w:val="24"/>
              </w:rPr>
              <w:t>Εξασφαλισμένες πιστοδοτήσεις και συναλλαγές με όρους κεφαλαιαγοράς με εναπομένουσα ληκτότητα που δεν υπερβαίνει τις 30 ημέρες, όταν ο αντισυμβαλλόμενος δεν είναι κεντρική τράπεζα και όταν η συναλλαγή εξασφαλίζεται με στοιχεία ενεργητικού τα οποία χρησιμοποιούνται για την κάλυψη αρνητικής θέσης σύμφωνα με την δεύτερη περίοδο του άρθρου 30 παράγραφος 5. Όταν εξασφαλίσεις κάθε είδους χρησιμοποιούνται για την κάλυψη αρνητικής θέσης, αυτό αναφέρεται εδώ και όχι σε άλλη από τις ανωτέρω γραμμές. Δεν πρέπει να γίνεται διπλός υπολογισμός.</w:t>
            </w:r>
          </w:p>
        </w:tc>
      </w:tr>
      <w:tr w:rsidR="00B47B7D" w:rsidRPr="000B6B22" w14:paraId="49C194CE" w14:textId="77777777" w:rsidTr="00454544">
        <w:tc>
          <w:tcPr>
            <w:tcW w:w="756" w:type="dxa"/>
            <w:shd w:val="clear" w:color="auto" w:fill="auto"/>
            <w:vAlign w:val="center"/>
          </w:tcPr>
          <w:p w14:paraId="2CF36907" w14:textId="26DC6E80" w:rsidR="007453EC" w:rsidRPr="000B6B22" w:rsidRDefault="007453EC" w:rsidP="009D4EFF">
            <w:pPr>
              <w:spacing w:before="0"/>
              <w:rPr>
                <w:rFonts w:ascii="Times New Roman" w:hAnsi="Times New Roman"/>
                <w:sz w:val="24"/>
              </w:rPr>
            </w:pPr>
            <w:r>
              <w:rPr>
                <w:rFonts w:ascii="Times New Roman" w:hAnsi="Times New Roman"/>
                <w:sz w:val="24"/>
              </w:rPr>
              <w:t>339</w:t>
            </w:r>
          </w:p>
        </w:tc>
        <w:tc>
          <w:tcPr>
            <w:tcW w:w="7540" w:type="dxa"/>
            <w:shd w:val="clear" w:color="auto" w:fill="auto"/>
            <w:vAlign w:val="center"/>
          </w:tcPr>
          <w:p w14:paraId="1110F5E1" w14:textId="77777777" w:rsidR="007453EC" w:rsidRPr="000B6B22" w:rsidRDefault="007453EC">
            <w:pPr>
              <w:spacing w:before="0"/>
              <w:rPr>
                <w:rFonts w:ascii="Times New Roman" w:hAnsi="Times New Roman"/>
                <w:b/>
                <w:bCs/>
                <w:sz w:val="24"/>
              </w:rPr>
            </w:pPr>
            <w:r>
              <w:rPr>
                <w:rFonts w:ascii="Times New Roman" w:hAnsi="Times New Roman"/>
                <w:b/>
                <w:sz w:val="24"/>
              </w:rPr>
              <w:t>1.2.2.3. εξασφαλίσεις που δεν είναι αποδεκτές ως ρευστά στοιχεία ενεργητικού</w:t>
            </w:r>
          </w:p>
          <w:p w14:paraId="52B58564" w14:textId="468EC255" w:rsidR="007453EC" w:rsidRPr="000B6B22" w:rsidRDefault="007453EC">
            <w:pPr>
              <w:spacing w:before="0"/>
              <w:rPr>
                <w:rFonts w:ascii="Times New Roman" w:hAnsi="Times New Roman"/>
                <w:bCs/>
                <w:sz w:val="24"/>
              </w:rPr>
            </w:pPr>
            <w:r>
              <w:rPr>
                <w:rFonts w:ascii="Times New Roman" w:hAnsi="Times New Roman"/>
                <w:sz w:val="24"/>
              </w:rPr>
              <w:t xml:space="preserve">Τα πιστωτικά ιδρύματα αναφέρουν στη γραμμή 0339 του υποδείγματος C 74.00 του παραρτήματος XXIV τις εξασφαλισμένες πιστοδοτήσεις και τις συναλλαγές με όρους κεφαλαιαγοράς με εναπομένουσα ληκτότητα που δεν υπερβαίνει τις 30 ημέρες, όταν ο αντισυμβαλλόμενος δεν είναι </w:t>
            </w:r>
            <w:r>
              <w:rPr>
                <w:rFonts w:ascii="Times New Roman" w:hAnsi="Times New Roman"/>
                <w:sz w:val="24"/>
              </w:rPr>
              <w:lastRenderedPageBreak/>
              <w:t>κεντρική τράπεζα και όταν η εξασφάλιση δεν είναι αποδεκτή ως ρευστό στοιχείο ενεργητικού. Τα πιστωτικά ιδρύματα αναφέρουν</w:t>
            </w:r>
          </w:p>
          <w:p w14:paraId="18CB2034" w14:textId="2ECC2D79" w:rsidR="007453EC" w:rsidRPr="000B6B22" w:rsidRDefault="007453EC">
            <w:pPr>
              <w:spacing w:before="0"/>
              <w:ind w:left="720" w:hanging="360"/>
              <w:rPr>
                <w:rFonts w:ascii="Times New Roman" w:hAnsi="Times New Roman"/>
                <w:bCs/>
                <w:sz w:val="24"/>
              </w:rPr>
            </w:pPr>
            <w:r>
              <w:rPr>
                <w:rFonts w:ascii="Times New Roman" w:hAnsi="Times New Roman"/>
                <w:sz w:val="24"/>
              </w:rPr>
              <w:t></w:t>
            </w:r>
            <w:r>
              <w:tab/>
            </w:r>
            <w:r>
              <w:rPr>
                <w:rFonts w:ascii="Times New Roman" w:hAnsi="Times New Roman"/>
                <w:sz w:val="24"/>
              </w:rPr>
              <w:t>για κάθε μία από τις στήλες 0010, 0020 και 0030, τα συνολικά οφειλόμενα ποσά από τις εν λόγω συναλλαγές ως το άθροισμα των ποσών που οφείλονται από δάνεια περιθωρίου, όταν οι εξασφαλίσεις είναι μη ρευστά στοιχεία, εξασφαλισμένες πιστοδοτήσεις και συναλλαγές με όρους κεφαλαιαγοράς, όταν οι εξασφαλίσεις είναι μη ρευστά ίδια κεφάλαια, και εξασφαλισμένες πιστοδοτήσεις και συναλλαγές με όρους κεφαλαιαγοράς καλυπτόμενες από άλλες μη ρευστές εξασφαλίσεις· και</w:t>
            </w:r>
          </w:p>
          <w:p w14:paraId="439F1A52" w14:textId="69F947C2" w:rsidR="007453EC" w:rsidRPr="000B6B22" w:rsidRDefault="007453EC">
            <w:pPr>
              <w:numPr>
                <w:ilvl w:val="0"/>
                <w:numId w:val="40"/>
              </w:numPr>
              <w:spacing w:before="0"/>
              <w:rPr>
                <w:rFonts w:ascii="Times New Roman" w:hAnsi="Times New Roman"/>
                <w:sz w:val="24"/>
              </w:rPr>
            </w:pPr>
            <w:r>
              <w:rPr>
                <w:rFonts w:ascii="Times New Roman" w:hAnsi="Times New Roman"/>
                <w:sz w:val="24"/>
              </w:rPr>
              <w:t>για κάθε μία από τις στήλες 0140, 0150 και 0160, τις συνολικές εισροές από τις εν λόγω συναλλαγές ως το άθροισμα των εισροών από δάνεια περιθωρίου, όταν οι εξασφαλίσεις είναι μη ρευστά στοιχεία, εξασφαλισμένες πιστοδοτήσεις και συναλλαγές με όρους κεφαλαιαγοράς, όταν οι εξασφαλίσεις είναι μη ρευστά ίδια κεφάλαια, και εξασφαλισμένες πιστοδοτήσεις και συναλλαγές με όρους κεφαλαιαγοράς καλυπτόμενες από άλλες μη ρευστές εξασφαλίσεις.</w:t>
            </w:r>
          </w:p>
        </w:tc>
      </w:tr>
      <w:tr w:rsidR="00B47B7D" w:rsidRPr="000B6B22" w14:paraId="477ED716" w14:textId="77777777" w:rsidTr="00454544">
        <w:tc>
          <w:tcPr>
            <w:tcW w:w="756" w:type="dxa"/>
            <w:shd w:val="clear" w:color="auto" w:fill="auto"/>
            <w:vAlign w:val="center"/>
          </w:tcPr>
          <w:p w14:paraId="22767496" w14:textId="26B9397E" w:rsidR="007453EC" w:rsidRPr="000B6B22" w:rsidRDefault="00DF552C" w:rsidP="009D4EFF">
            <w:pPr>
              <w:spacing w:before="0"/>
              <w:rPr>
                <w:rFonts w:ascii="Times New Roman" w:hAnsi="Times New Roman"/>
                <w:sz w:val="24"/>
              </w:rPr>
            </w:pPr>
            <w:r>
              <w:rPr>
                <w:rFonts w:ascii="Times New Roman" w:hAnsi="Times New Roman"/>
                <w:sz w:val="24"/>
              </w:rPr>
              <w:lastRenderedPageBreak/>
              <w:t>0341</w:t>
            </w:r>
          </w:p>
        </w:tc>
        <w:tc>
          <w:tcPr>
            <w:tcW w:w="7540" w:type="dxa"/>
            <w:shd w:val="clear" w:color="auto" w:fill="auto"/>
            <w:vAlign w:val="center"/>
          </w:tcPr>
          <w:p w14:paraId="3563587D" w14:textId="77777777" w:rsidR="007453EC" w:rsidRPr="000B6B22" w:rsidRDefault="007453EC">
            <w:pPr>
              <w:spacing w:before="0"/>
              <w:rPr>
                <w:rFonts w:ascii="Times New Roman" w:hAnsi="Times New Roman"/>
                <w:b/>
                <w:bCs/>
                <w:sz w:val="24"/>
              </w:rPr>
            </w:pPr>
            <w:r>
              <w:rPr>
                <w:rFonts w:ascii="Times New Roman" w:hAnsi="Times New Roman"/>
                <w:b/>
                <w:sz w:val="24"/>
              </w:rPr>
              <w:t>1.2.2.3.1. δάνεια περιθωρίου: οι εξασφαλίσεις είναι μη ρευστά στοιχεία</w:t>
            </w:r>
          </w:p>
          <w:p w14:paraId="3F467D84" w14:textId="5C511614" w:rsidR="007453EC" w:rsidRPr="000B6B22" w:rsidRDefault="000378A5">
            <w:pPr>
              <w:spacing w:before="0"/>
              <w:rPr>
                <w:rFonts w:ascii="Times New Roman" w:hAnsi="Times New Roman"/>
                <w:bCs/>
                <w:sz w:val="24"/>
              </w:rPr>
            </w:pPr>
            <w:r>
              <w:rPr>
                <w:rFonts w:ascii="Times New Roman" w:hAnsi="Times New Roman"/>
                <w:sz w:val="24"/>
              </w:rPr>
              <w:t>Άρθρο 32 παράγραφος 3 στοιχείο γ) του κατ’ εξουσιοδότηση κανονισμού (ΕΕ) 2015/61</w:t>
            </w:r>
          </w:p>
          <w:p w14:paraId="0E49FD15" w14:textId="0C8F3CE2" w:rsidR="007453EC" w:rsidRPr="000B6B22" w:rsidRDefault="007453EC">
            <w:pPr>
              <w:spacing w:before="0"/>
              <w:rPr>
                <w:rFonts w:ascii="Times New Roman" w:hAnsi="Times New Roman"/>
                <w:b/>
                <w:bCs/>
                <w:sz w:val="24"/>
              </w:rPr>
            </w:pPr>
            <w:r>
              <w:rPr>
                <w:rFonts w:ascii="Times New Roman" w:hAnsi="Times New Roman"/>
                <w:sz w:val="24"/>
              </w:rPr>
              <w:t>Δάνεια περιθωρίου που χορηγήθηκαν έναντι εξασφαλίσεων από μη ρευστά στοιχεία ενεργητικού με εναπομένουσα ληκτότητα που δεν υπερβαίνει τις 30 ημέρες, όταν ο αντισυμβαλλόμενος δεν είναι κεντρική τράπεζα και όταν τα λαμβανόμενα στοιχεία ενεργητικού δεν χρησιμοποιούνται για την κάλυψη αρνητικών θέσεων, όπως περιγράφεται στο άρθρο 32 παράγραφος 3 στοιχείο γ) του κατ’ εξουσιοδότηση κανονισμού (ΕΕ) 2015/61.</w:t>
            </w:r>
          </w:p>
        </w:tc>
      </w:tr>
      <w:tr w:rsidR="00B47B7D" w:rsidRPr="000B6B22" w14:paraId="1D74A9CE" w14:textId="77777777" w:rsidTr="00454544">
        <w:tc>
          <w:tcPr>
            <w:tcW w:w="756" w:type="dxa"/>
            <w:shd w:val="clear" w:color="auto" w:fill="auto"/>
            <w:vAlign w:val="center"/>
          </w:tcPr>
          <w:p w14:paraId="680E3344" w14:textId="7574CED4" w:rsidR="007453EC" w:rsidRPr="000B6B22" w:rsidRDefault="00DF552C" w:rsidP="009D4EFF">
            <w:pPr>
              <w:spacing w:before="0"/>
              <w:rPr>
                <w:rFonts w:ascii="Times New Roman" w:hAnsi="Times New Roman"/>
                <w:sz w:val="24"/>
              </w:rPr>
            </w:pPr>
            <w:r>
              <w:rPr>
                <w:rFonts w:ascii="Times New Roman" w:hAnsi="Times New Roman"/>
                <w:sz w:val="24"/>
              </w:rPr>
              <w:t>0343</w:t>
            </w:r>
          </w:p>
        </w:tc>
        <w:tc>
          <w:tcPr>
            <w:tcW w:w="7540" w:type="dxa"/>
            <w:shd w:val="clear" w:color="auto" w:fill="auto"/>
            <w:vAlign w:val="center"/>
          </w:tcPr>
          <w:p w14:paraId="03D1B476" w14:textId="77777777" w:rsidR="007453EC" w:rsidRPr="000B6B22" w:rsidRDefault="007453EC">
            <w:pPr>
              <w:spacing w:before="0"/>
              <w:rPr>
                <w:rFonts w:ascii="Times New Roman" w:hAnsi="Times New Roman"/>
                <w:b/>
                <w:bCs/>
                <w:sz w:val="24"/>
              </w:rPr>
            </w:pPr>
            <w:r>
              <w:rPr>
                <w:rFonts w:ascii="Times New Roman" w:hAnsi="Times New Roman"/>
                <w:b/>
                <w:sz w:val="24"/>
              </w:rPr>
              <w:t>1.2.2.3.2. οι εξασφαλίσεις είναι μη ρευστά ίδια κεφάλαια</w:t>
            </w:r>
          </w:p>
          <w:p w14:paraId="1F04D6E8" w14:textId="4244E03C" w:rsidR="007453EC" w:rsidRPr="000B6B22" w:rsidRDefault="000378A5">
            <w:pPr>
              <w:spacing w:before="0"/>
              <w:rPr>
                <w:rFonts w:ascii="Times New Roman" w:hAnsi="Times New Roman"/>
                <w:bCs/>
                <w:sz w:val="24"/>
              </w:rPr>
            </w:pPr>
            <w:r>
              <w:rPr>
                <w:rFonts w:ascii="Times New Roman" w:hAnsi="Times New Roman"/>
                <w:sz w:val="24"/>
              </w:rPr>
              <w:t>Άρθρο 32 παράγραφος 3 στοιχείο β) του κατ’ εξουσιοδότηση κανονισμού (ΕΕ) 2015/61</w:t>
            </w:r>
          </w:p>
          <w:p w14:paraId="17B53310" w14:textId="6CA90FF2" w:rsidR="007453EC" w:rsidRPr="000B6B22" w:rsidRDefault="007453EC">
            <w:pPr>
              <w:spacing w:before="0"/>
              <w:rPr>
                <w:rFonts w:ascii="Times New Roman" w:hAnsi="Times New Roman"/>
                <w:sz w:val="24"/>
              </w:rPr>
            </w:pPr>
            <w:r>
              <w:rPr>
                <w:rFonts w:ascii="Times New Roman" w:hAnsi="Times New Roman"/>
                <w:sz w:val="24"/>
              </w:rPr>
              <w:t>Εξασφαλισμένες πιστοδοτήσεις και συναλλαγές με όρους κεφαλαιαγοράς με εναπομένουσα ληκτότητα που δεν υπερβαίνει τις 30 ημέρες, όταν ο αντισυμβαλλόμενος δεν είναι κεντρική τράπεζα και όταν η συναλλαγή εξασφαλίζεται με μη ρευστά ίδια κεφάλαια.</w:t>
            </w:r>
          </w:p>
        </w:tc>
      </w:tr>
      <w:tr w:rsidR="00B47B7D" w:rsidRPr="000B6B22" w14:paraId="6F11E2A1" w14:textId="77777777" w:rsidTr="00454544">
        <w:tc>
          <w:tcPr>
            <w:tcW w:w="756" w:type="dxa"/>
            <w:shd w:val="clear" w:color="auto" w:fill="auto"/>
            <w:vAlign w:val="center"/>
          </w:tcPr>
          <w:p w14:paraId="1FA31822" w14:textId="0A416AFC" w:rsidR="007453EC" w:rsidRPr="000B6B22" w:rsidRDefault="00DF552C" w:rsidP="009D4EFF">
            <w:pPr>
              <w:spacing w:before="0"/>
              <w:rPr>
                <w:rFonts w:ascii="Times New Roman" w:hAnsi="Times New Roman"/>
                <w:sz w:val="24"/>
              </w:rPr>
            </w:pPr>
            <w:r>
              <w:rPr>
                <w:rFonts w:ascii="Times New Roman" w:hAnsi="Times New Roman"/>
                <w:sz w:val="24"/>
              </w:rPr>
              <w:t>0345</w:t>
            </w:r>
          </w:p>
        </w:tc>
        <w:tc>
          <w:tcPr>
            <w:tcW w:w="7540" w:type="dxa"/>
            <w:shd w:val="clear" w:color="auto" w:fill="auto"/>
            <w:vAlign w:val="center"/>
          </w:tcPr>
          <w:p w14:paraId="4EE19117" w14:textId="77777777" w:rsidR="007453EC" w:rsidRPr="000B6B22" w:rsidRDefault="007453EC">
            <w:pPr>
              <w:spacing w:before="0"/>
              <w:rPr>
                <w:rFonts w:ascii="Times New Roman" w:hAnsi="Times New Roman"/>
                <w:b/>
                <w:bCs/>
                <w:sz w:val="24"/>
              </w:rPr>
            </w:pPr>
            <w:r>
              <w:rPr>
                <w:rFonts w:ascii="Times New Roman" w:hAnsi="Times New Roman"/>
                <w:b/>
                <w:sz w:val="24"/>
              </w:rPr>
              <w:t>1.2.2.3.3. όλες οι άλλες εξασφαλίσεις με μη ρευστά στοιχεία</w:t>
            </w:r>
          </w:p>
          <w:p w14:paraId="3E87F6CC" w14:textId="30080A2F" w:rsidR="007453EC" w:rsidRPr="000B6B22" w:rsidRDefault="000378A5">
            <w:pPr>
              <w:spacing w:before="0"/>
              <w:rPr>
                <w:rFonts w:ascii="Times New Roman" w:hAnsi="Times New Roman"/>
                <w:bCs/>
                <w:sz w:val="24"/>
              </w:rPr>
            </w:pPr>
            <w:r>
              <w:rPr>
                <w:rFonts w:ascii="Times New Roman" w:hAnsi="Times New Roman"/>
                <w:sz w:val="24"/>
              </w:rPr>
              <w:t>Άρθρο 32 παράγραφος 3 στοιχείο β) του κατ’ εξουσιοδότηση κανονισμού (ΕΕ) 2015/61</w:t>
            </w:r>
          </w:p>
          <w:p w14:paraId="0113C8FA" w14:textId="1A7AB2B4" w:rsidR="007453EC" w:rsidRPr="000B6B22" w:rsidRDefault="007453EC">
            <w:pPr>
              <w:spacing w:before="0"/>
              <w:rPr>
                <w:rFonts w:ascii="Times New Roman" w:hAnsi="Times New Roman"/>
                <w:sz w:val="24"/>
              </w:rPr>
            </w:pPr>
            <w:r>
              <w:rPr>
                <w:rFonts w:ascii="Times New Roman" w:hAnsi="Times New Roman"/>
                <w:sz w:val="24"/>
              </w:rPr>
              <w:t>Εξασφαλισμένες πιστοδοτήσεις και συναλλαγές με όρους κεφαλαιαγοράς με εναπομένουσα ληκτότητα που δεν υπερβαίνει τις 30 ημέρες, όταν ο αντισυμβαλλόμενος δεν είναι κεντρική τράπεζα και όταν η συναλλαγή εξασφαλίζεται με μη ρευστά στοιχεία ενεργητικού που δεν έχουν ήδη αποτυπωθεί στο τμήμα 1.2.2.3.1 ή 1.2.2.3.2.</w:t>
            </w:r>
          </w:p>
        </w:tc>
      </w:tr>
      <w:tr w:rsidR="00B47B7D" w:rsidRPr="000B6B22" w14:paraId="3D440A7E" w14:textId="77777777" w:rsidTr="00454544">
        <w:tc>
          <w:tcPr>
            <w:tcW w:w="756" w:type="dxa"/>
            <w:shd w:val="clear" w:color="auto" w:fill="auto"/>
            <w:vAlign w:val="center"/>
          </w:tcPr>
          <w:p w14:paraId="7B0AE907" w14:textId="7EB0C606" w:rsidR="007453EC" w:rsidRPr="000B6B22" w:rsidRDefault="00DF552C" w:rsidP="009D4EFF">
            <w:pPr>
              <w:spacing w:before="0"/>
              <w:rPr>
                <w:rFonts w:ascii="Times New Roman" w:hAnsi="Times New Roman"/>
                <w:sz w:val="24"/>
              </w:rPr>
            </w:pPr>
            <w:r>
              <w:rPr>
                <w:rFonts w:ascii="Times New Roman" w:hAnsi="Times New Roman"/>
                <w:sz w:val="24"/>
              </w:rPr>
              <w:t>0410</w:t>
            </w:r>
          </w:p>
        </w:tc>
        <w:tc>
          <w:tcPr>
            <w:tcW w:w="7540" w:type="dxa"/>
            <w:shd w:val="clear" w:color="auto" w:fill="auto"/>
            <w:vAlign w:val="center"/>
          </w:tcPr>
          <w:p w14:paraId="6C9A9C04" w14:textId="77777777" w:rsidR="007453EC" w:rsidRPr="000B6B22" w:rsidRDefault="007453EC">
            <w:pPr>
              <w:spacing w:before="0"/>
              <w:rPr>
                <w:rFonts w:ascii="Times New Roman" w:hAnsi="Times New Roman"/>
                <w:b/>
                <w:bCs/>
                <w:sz w:val="24"/>
              </w:rPr>
            </w:pPr>
            <w:r>
              <w:rPr>
                <w:rFonts w:ascii="Times New Roman" w:hAnsi="Times New Roman"/>
                <w:b/>
                <w:sz w:val="24"/>
              </w:rPr>
              <w:t>1.3. Συνολικές εισροές από πράξεις ανταλλαγής εξασφαλίσεων</w:t>
            </w:r>
          </w:p>
          <w:p w14:paraId="026023A4" w14:textId="6DC221E0" w:rsidR="007453EC" w:rsidRPr="000B6B22" w:rsidRDefault="007453EC">
            <w:pPr>
              <w:spacing w:before="0"/>
              <w:rPr>
                <w:rFonts w:ascii="Times New Roman" w:hAnsi="Times New Roman"/>
                <w:bCs/>
                <w:sz w:val="24"/>
              </w:rPr>
            </w:pPr>
            <w:r>
              <w:rPr>
                <w:rFonts w:ascii="Times New Roman" w:hAnsi="Times New Roman"/>
                <w:sz w:val="24"/>
              </w:rPr>
              <w:lastRenderedPageBreak/>
              <w:t>Τα πιστωτικά ιδρύματα αναφέρουν εδώ το άθροισμα του συνόλου των εισροών από πράξεις ανταλλαγής εξασφαλίσεων όπως υπολογίζεται στο υπόδειγμα C 75.01 του παραρτήματος XXIV.</w:t>
            </w:r>
          </w:p>
        </w:tc>
      </w:tr>
      <w:tr w:rsidR="00B47B7D" w:rsidRPr="000B6B22" w14:paraId="02C7B457" w14:textId="77777777" w:rsidTr="00454544">
        <w:tc>
          <w:tcPr>
            <w:tcW w:w="756" w:type="dxa"/>
            <w:shd w:val="clear" w:color="auto" w:fill="auto"/>
            <w:vAlign w:val="center"/>
          </w:tcPr>
          <w:p w14:paraId="76535B4A" w14:textId="5208296E" w:rsidR="007453EC" w:rsidRPr="000B6B22" w:rsidRDefault="00DF552C" w:rsidP="009D4EFF">
            <w:pPr>
              <w:spacing w:before="0"/>
              <w:rPr>
                <w:rFonts w:ascii="Times New Roman" w:hAnsi="Times New Roman"/>
                <w:sz w:val="24"/>
              </w:rPr>
            </w:pPr>
            <w:r>
              <w:rPr>
                <w:rFonts w:ascii="Times New Roman" w:hAnsi="Times New Roman"/>
                <w:sz w:val="24"/>
              </w:rPr>
              <w:lastRenderedPageBreak/>
              <w:t>0420</w:t>
            </w:r>
          </w:p>
        </w:tc>
        <w:tc>
          <w:tcPr>
            <w:tcW w:w="7540" w:type="dxa"/>
            <w:shd w:val="clear" w:color="auto" w:fill="auto"/>
            <w:vAlign w:val="center"/>
          </w:tcPr>
          <w:p w14:paraId="76E21CB7" w14:textId="77777777" w:rsidR="007453EC" w:rsidRPr="000B6B22" w:rsidRDefault="007453EC">
            <w:pPr>
              <w:spacing w:before="0"/>
              <w:rPr>
                <w:rFonts w:ascii="Times New Roman" w:hAnsi="Times New Roman"/>
                <w:b/>
                <w:bCs/>
                <w:sz w:val="24"/>
              </w:rPr>
            </w:pPr>
            <w:r>
              <w:rPr>
                <w:rFonts w:ascii="Times New Roman" w:hAnsi="Times New Roman"/>
                <w:b/>
                <w:sz w:val="24"/>
              </w:rPr>
              <w:t>1.4. (Διαφορά μεταξύ των συνολικών σταθμισμένων εισροών και των συνολικών σταθμισμένων εκροών που προκύπτει από συναλλαγές σε τρίτες χώρες όταν υπάρχουν περιορισμοί μεταφοράς ή είναι εκφρασμένες σε μη μετατρέψιμα νομίσματα)</w:t>
            </w:r>
          </w:p>
          <w:p w14:paraId="5B749BFA" w14:textId="3F7B74A2" w:rsidR="007453EC" w:rsidRPr="000B6B22" w:rsidRDefault="007453EC">
            <w:pPr>
              <w:spacing w:before="0"/>
              <w:rPr>
                <w:rFonts w:ascii="Times New Roman" w:hAnsi="Times New Roman"/>
                <w:bCs/>
                <w:sz w:val="24"/>
              </w:rPr>
            </w:pPr>
            <w:r>
              <w:rPr>
                <w:rFonts w:ascii="Times New Roman" w:hAnsi="Times New Roman"/>
                <w:sz w:val="24"/>
              </w:rPr>
              <w:t>Άρθρο 32 παράγραφος 8 του κατ’ εξουσιοδότηση κανονισμού (ΕΕ) 2015/61</w:t>
            </w:r>
          </w:p>
          <w:p w14:paraId="2390BDA2" w14:textId="4B9A76E6" w:rsidR="007453EC" w:rsidRPr="000B6B22" w:rsidRDefault="007453EC">
            <w:pPr>
              <w:spacing w:before="0"/>
              <w:rPr>
                <w:rFonts w:ascii="Times New Roman" w:hAnsi="Times New Roman"/>
                <w:b/>
                <w:sz w:val="24"/>
              </w:rPr>
            </w:pPr>
            <w:r>
              <w:rPr>
                <w:rFonts w:ascii="Times New Roman" w:hAnsi="Times New Roman"/>
                <w:sz w:val="24"/>
              </w:rPr>
              <w:t>Τα ιδρύματα αναφέρουν στη σχετική στήλη 0140, 0150 και 0160 το άθροισμα των συνολικών σταθμισμένων εισροών από τρίτες χώρες όπου υπάρχουν περιορισμοί μεταφοράς ή είναι εκφρασμένες σε μη μετατρέψιμα νομίσματα, αφαιρώντας το άθροισμα των συνολικών σταθμισμένων εκροών από τρίτες χώρες, όπου υπάρχουν περιορισμοί μεταφοράς ή είναι εκφρασμένες σε μη μετατρέψιμα νομίσματα, όπως αναφέρεται στο υπόδειγμα C 73.00 του παραρτήματος XXIV. Σε περίπτωση που το ποσό αυτό είναι αρνητικό, τα ιδρύματα αναφέρουν «0».</w:t>
            </w:r>
          </w:p>
        </w:tc>
      </w:tr>
      <w:tr w:rsidR="00B47B7D" w:rsidRPr="000B6B22" w14:paraId="545629F7" w14:textId="77777777" w:rsidTr="00454544">
        <w:tc>
          <w:tcPr>
            <w:tcW w:w="756" w:type="dxa"/>
            <w:tcBorders>
              <w:bottom w:val="single" w:sz="4" w:space="0" w:color="auto"/>
            </w:tcBorders>
            <w:shd w:val="clear" w:color="auto" w:fill="auto"/>
            <w:vAlign w:val="center"/>
          </w:tcPr>
          <w:p w14:paraId="425E21D5" w14:textId="608440CA" w:rsidR="007453EC" w:rsidRPr="000B6B22" w:rsidRDefault="00DF552C" w:rsidP="009D4EFF">
            <w:pPr>
              <w:spacing w:before="0"/>
              <w:rPr>
                <w:rFonts w:ascii="Times New Roman" w:hAnsi="Times New Roman"/>
                <w:sz w:val="24"/>
              </w:rPr>
            </w:pPr>
            <w:r>
              <w:rPr>
                <w:rFonts w:ascii="Times New Roman" w:hAnsi="Times New Roman"/>
                <w:sz w:val="24"/>
              </w:rPr>
              <w:t>0430</w:t>
            </w:r>
          </w:p>
        </w:tc>
        <w:tc>
          <w:tcPr>
            <w:tcW w:w="7540" w:type="dxa"/>
            <w:tcBorders>
              <w:bottom w:val="single" w:sz="4" w:space="0" w:color="auto"/>
            </w:tcBorders>
            <w:shd w:val="clear" w:color="auto" w:fill="auto"/>
            <w:vAlign w:val="center"/>
          </w:tcPr>
          <w:p w14:paraId="3044B303" w14:textId="77777777" w:rsidR="007453EC" w:rsidRPr="000B6B22" w:rsidRDefault="007453EC">
            <w:pPr>
              <w:spacing w:before="0"/>
              <w:rPr>
                <w:rFonts w:ascii="Times New Roman" w:hAnsi="Times New Roman"/>
                <w:b/>
                <w:bCs/>
                <w:sz w:val="24"/>
              </w:rPr>
            </w:pPr>
            <w:r>
              <w:rPr>
                <w:rFonts w:ascii="Times New Roman" w:hAnsi="Times New Roman"/>
                <w:b/>
                <w:sz w:val="24"/>
              </w:rPr>
              <w:t>1.5. (Υπερβάλλουσες εισροές από συνδεδεμένο ειδικευμένο πιστωτικό ίδρυμα)</w:t>
            </w:r>
          </w:p>
          <w:p w14:paraId="56944145" w14:textId="7FE54F46" w:rsidR="007453EC" w:rsidRPr="000B6B22" w:rsidRDefault="00DD4C72">
            <w:pPr>
              <w:spacing w:before="0"/>
              <w:rPr>
                <w:rFonts w:ascii="Times New Roman" w:hAnsi="Times New Roman"/>
                <w:bCs/>
                <w:sz w:val="24"/>
              </w:rPr>
            </w:pPr>
            <w:r>
              <w:rPr>
                <w:rFonts w:ascii="Times New Roman" w:hAnsi="Times New Roman"/>
                <w:sz w:val="24"/>
              </w:rPr>
              <w:t>Άρθρο 2 παράγραφος 3 στοιχείο ε) και άρθρο 33 παράγραφος 6 του κατ’ εξουσιοδότηση κανονισμού (ΕΕ) 2015/61</w:t>
            </w:r>
          </w:p>
          <w:p w14:paraId="1098E357" w14:textId="6A8AC411" w:rsidR="007453EC" w:rsidRPr="000B6B22" w:rsidRDefault="007453EC">
            <w:pPr>
              <w:spacing w:before="0"/>
              <w:rPr>
                <w:rFonts w:ascii="Times New Roman" w:hAnsi="Times New Roman"/>
                <w:bCs/>
                <w:sz w:val="24"/>
              </w:rPr>
            </w:pPr>
            <w:r>
              <w:rPr>
                <w:rFonts w:ascii="Times New Roman" w:hAnsi="Times New Roman"/>
                <w:sz w:val="24"/>
              </w:rPr>
              <w:t>Τα πιστωτικά ιδρύματα που υποβάλλουν αναφορά σε ενοποιημένη βάση αναφέρουν στη σχετική στήλη 0140, 0150 ή 0160 το ποσό των εισροών που προέρχονται από συνδεόμενο ειδικευμένο πιστωτικό ίδρυμα, όπως αναφέρεται στο άρθρο 33 παράγραφοι 3 και 4 του κατ’ εξουσιοδότηση κανονισμού (ΕΕ) 2015/61, το οποίο υπερβαίνει το ποσό των εκροών που προέρχονται από την ίδια επιχείρηση.</w:t>
            </w:r>
          </w:p>
        </w:tc>
      </w:tr>
      <w:tr w:rsidR="00B47B7D" w:rsidRPr="000B6B22" w14:paraId="4F801B1F" w14:textId="77777777" w:rsidTr="00454544">
        <w:tc>
          <w:tcPr>
            <w:tcW w:w="8296" w:type="dxa"/>
            <w:gridSpan w:val="2"/>
            <w:shd w:val="clear" w:color="auto" w:fill="D9D9D9"/>
            <w:vAlign w:val="center"/>
          </w:tcPr>
          <w:p w14:paraId="0894CCC3" w14:textId="77777777" w:rsidR="007453EC" w:rsidRPr="000B6B22" w:rsidRDefault="007453EC">
            <w:pPr>
              <w:spacing w:before="0"/>
              <w:rPr>
                <w:rFonts w:ascii="Times New Roman" w:hAnsi="Times New Roman"/>
                <w:b/>
                <w:bCs/>
                <w:sz w:val="24"/>
              </w:rPr>
            </w:pPr>
            <w:r>
              <w:rPr>
                <w:rFonts w:ascii="Times New Roman" w:hAnsi="Times New Roman"/>
                <w:b/>
                <w:sz w:val="24"/>
              </w:rPr>
              <w:t>ΥΠΟΜΝΗΜΑΤΙΚΑ ΣΤΟΙΧΕΙΑ</w:t>
            </w:r>
          </w:p>
        </w:tc>
      </w:tr>
      <w:tr w:rsidR="00B47B7D" w:rsidRPr="000B6B22" w14:paraId="1D004450" w14:textId="77777777" w:rsidTr="00454544">
        <w:tc>
          <w:tcPr>
            <w:tcW w:w="756" w:type="dxa"/>
            <w:shd w:val="clear" w:color="auto" w:fill="auto"/>
            <w:vAlign w:val="center"/>
          </w:tcPr>
          <w:p w14:paraId="20BA1D35" w14:textId="26A6855A" w:rsidR="007453EC" w:rsidRPr="000B6B22" w:rsidRDefault="00DF552C" w:rsidP="009D4EFF">
            <w:pPr>
              <w:spacing w:before="0"/>
              <w:rPr>
                <w:rFonts w:ascii="Times New Roman" w:hAnsi="Times New Roman"/>
                <w:sz w:val="24"/>
              </w:rPr>
            </w:pPr>
            <w:r>
              <w:rPr>
                <w:rFonts w:ascii="Times New Roman" w:hAnsi="Times New Roman"/>
                <w:sz w:val="24"/>
              </w:rPr>
              <w:t>0450</w:t>
            </w:r>
          </w:p>
        </w:tc>
        <w:tc>
          <w:tcPr>
            <w:tcW w:w="7540" w:type="dxa"/>
            <w:shd w:val="clear" w:color="auto" w:fill="auto"/>
            <w:vAlign w:val="center"/>
          </w:tcPr>
          <w:p w14:paraId="1EFF48EE" w14:textId="49DD8672" w:rsidR="007453EC" w:rsidRPr="000B6B22" w:rsidRDefault="007453EC">
            <w:pPr>
              <w:spacing w:before="0"/>
              <w:rPr>
                <w:rFonts w:ascii="Times New Roman" w:hAnsi="Times New Roman"/>
                <w:b/>
                <w:bCs/>
                <w:sz w:val="24"/>
              </w:rPr>
            </w:pPr>
            <w:r>
              <w:rPr>
                <w:rFonts w:ascii="Times New Roman" w:hAnsi="Times New Roman"/>
                <w:b/>
                <w:sz w:val="24"/>
              </w:rPr>
              <w:t>2. Εισροές συναλλάγματος</w:t>
            </w:r>
          </w:p>
          <w:p w14:paraId="429DA1A9" w14:textId="0CC93E7C" w:rsidR="007453EC" w:rsidRPr="000B6B22" w:rsidRDefault="007453EC">
            <w:pPr>
              <w:spacing w:before="0"/>
              <w:rPr>
                <w:rFonts w:ascii="Times New Roman" w:hAnsi="Times New Roman"/>
                <w:bCs/>
                <w:sz w:val="24"/>
              </w:rPr>
            </w:pPr>
            <w:r>
              <w:rPr>
                <w:rFonts w:ascii="Times New Roman" w:hAnsi="Times New Roman"/>
                <w:sz w:val="24"/>
              </w:rPr>
              <w:t>Αυτό το υπομνηματικό στοιχείο αναφέρεται μόνο σε περίπτωση χωριστής αναφοράς του νομίσματος που χρησιμοποιείται για την υποβολή αναφορών·ή νομίσματος διαφορετικού από το νόμισμα που χρησιμοποιείται για την υποβολή αναφορών, σύμφωνα με το άρθρο 415 παράγραφος 2 του κανονισμού (ΕΕ) αριθ. 575/2013.</w:t>
            </w:r>
          </w:p>
          <w:p w14:paraId="6F39F1DB" w14:textId="7B4BA173" w:rsidR="007453EC" w:rsidRPr="000B6B22" w:rsidRDefault="007453EC">
            <w:pPr>
              <w:spacing w:before="0"/>
              <w:rPr>
                <w:rFonts w:ascii="Times New Roman" w:eastAsia="Calibri" w:hAnsi="Times New Roman"/>
                <w:sz w:val="24"/>
              </w:rPr>
            </w:pPr>
            <w:r>
              <w:rPr>
                <w:rFonts w:ascii="Times New Roman" w:hAnsi="Times New Roman"/>
                <w:sz w:val="24"/>
              </w:rPr>
              <w:t>Τα πιστωτικά ιδρύματα αναφέρουν το μέρος των εισροών από παράγωγα (που αναφέρονται στο τμήμα 1.1.9.) οι οποίες αφορούν ροές κεφαλαίων σε συνάλλαγμα στο αντίστοιχο νόμισμα από πράξεις ανταλλαγής νομισμάτων, άμεσες και προθεσμιακές πράξεις συναλλάγματος που λήγουν εντός της προθεσμίας των 30 ημερών. Ο συμψηφισμός ανά αντισυμβαλλόμενο μπορεί να εφαρμοστεί μόνο σε ροές στο εν λόγω νόμισμα.</w:t>
            </w:r>
          </w:p>
        </w:tc>
      </w:tr>
      <w:tr w:rsidR="00B47B7D" w:rsidRPr="000B6B22" w14:paraId="6A422EDA" w14:textId="77777777" w:rsidTr="00454544">
        <w:tc>
          <w:tcPr>
            <w:tcW w:w="756" w:type="dxa"/>
            <w:shd w:val="clear" w:color="auto" w:fill="auto"/>
            <w:vAlign w:val="center"/>
          </w:tcPr>
          <w:p w14:paraId="2E497E51" w14:textId="7D8F07BA" w:rsidR="007453EC" w:rsidRPr="000B6B22" w:rsidRDefault="00DF552C" w:rsidP="009D4EFF">
            <w:pPr>
              <w:spacing w:before="0"/>
              <w:rPr>
                <w:rFonts w:ascii="Times New Roman" w:hAnsi="Times New Roman"/>
                <w:sz w:val="24"/>
              </w:rPr>
            </w:pPr>
            <w:r>
              <w:rPr>
                <w:rFonts w:ascii="Times New Roman" w:hAnsi="Times New Roman"/>
                <w:sz w:val="24"/>
              </w:rPr>
              <w:t>0460</w:t>
            </w:r>
          </w:p>
        </w:tc>
        <w:tc>
          <w:tcPr>
            <w:tcW w:w="7540" w:type="dxa"/>
            <w:shd w:val="clear" w:color="auto" w:fill="auto"/>
            <w:vAlign w:val="center"/>
          </w:tcPr>
          <w:p w14:paraId="547FA751" w14:textId="1F7DAB58" w:rsidR="007453EC" w:rsidRPr="000B6B22" w:rsidRDefault="007453EC">
            <w:pPr>
              <w:spacing w:before="0"/>
              <w:rPr>
                <w:rFonts w:ascii="Times New Roman" w:hAnsi="Times New Roman"/>
                <w:b/>
                <w:bCs/>
                <w:sz w:val="24"/>
              </w:rPr>
            </w:pPr>
            <w:r>
              <w:rPr>
                <w:rFonts w:ascii="Times New Roman" w:hAnsi="Times New Roman"/>
                <w:b/>
                <w:sz w:val="24"/>
              </w:rPr>
              <w:t>3. Εισροές εντός ομίλου ή θεσμικού συστήματος προστασίας</w:t>
            </w:r>
          </w:p>
          <w:p w14:paraId="4042A99D" w14:textId="33231E78" w:rsidR="007453EC" w:rsidRPr="000B6B22" w:rsidRDefault="007453EC">
            <w:pPr>
              <w:spacing w:before="0"/>
              <w:rPr>
                <w:rFonts w:ascii="Times New Roman" w:hAnsi="Times New Roman"/>
                <w:bCs/>
                <w:sz w:val="24"/>
              </w:rPr>
            </w:pPr>
            <w:r>
              <w:rPr>
                <w:rFonts w:ascii="Times New Roman" w:hAnsi="Times New Roman"/>
                <w:sz w:val="24"/>
              </w:rPr>
              <w:t xml:space="preserve">Τα πιστωτικά ιδρύματα αναφέρουν εδώ ως υπομνηματικά στοιχεία όλες τις συναλλαγές που αναφέρονται στο τμήμα 1 (εξαιρουμένου του τμήματος 1.1.10.), όταν ο αντισυμβαλλόμενος είναι μητρική ή θυγατρική </w:t>
            </w:r>
            <w:r>
              <w:rPr>
                <w:rFonts w:ascii="Times New Roman" w:hAnsi="Times New Roman"/>
                <w:sz w:val="24"/>
              </w:rPr>
              <w:lastRenderedPageBreak/>
              <w:t>του πιστωτικού ιδρύματος ή άλλη θυγατρική της ίδιας μητρικής ή συνδέεται με το πιστωτικό ίδρυμα με σχέση κατά την έννοια του άρθρου 12 παράγραφος 1 της οδηγίας 83/349/ΕΟΚ, ή μέλος του ίδιου θεσμικού συστήματος προστασίας που προβλέπεται στο άρθρο 113 παράγραφος 7 του κανονισμού (ΕΕ) αριθ. 575/2013 ή το κεντρικό ίδρυμα ή μέλος δικτύου ή συνεταιριστικού ομίλου που αναφέρεται στο άρθρο 10 του κανονισμού (ΕΕ) αριθ. 575/2013.</w:t>
            </w:r>
          </w:p>
          <w:p w14:paraId="5871C80C" w14:textId="7FD03E60" w:rsidR="007453EC" w:rsidRPr="000B6B22" w:rsidRDefault="007453EC">
            <w:pPr>
              <w:spacing w:before="0"/>
              <w:rPr>
                <w:rFonts w:ascii="Times New Roman" w:hAnsi="Times New Roman"/>
                <w:bCs/>
                <w:sz w:val="24"/>
              </w:rPr>
            </w:pPr>
            <w:r>
              <w:rPr>
                <w:rFonts w:ascii="Times New Roman" w:hAnsi="Times New Roman"/>
                <w:sz w:val="24"/>
              </w:rPr>
              <w:t>Τα πιστωτικά ιδρύματα αναφέρουν στη γραμμή 0460 του υποδείγματος C 74.00 του παραρτήματος XXIV</w:t>
            </w:r>
          </w:p>
          <w:p w14:paraId="2014504C" w14:textId="6890C04D" w:rsidR="007453EC" w:rsidRPr="000B6B22" w:rsidRDefault="007453EC">
            <w:pPr>
              <w:spacing w:before="0"/>
              <w:ind w:left="720" w:hanging="360"/>
              <w:rPr>
                <w:rFonts w:ascii="Times New Roman" w:hAnsi="Times New Roman"/>
                <w:bCs/>
                <w:sz w:val="24"/>
              </w:rPr>
            </w:pPr>
            <w:r>
              <w:rPr>
                <w:rFonts w:ascii="Times New Roman" w:hAnsi="Times New Roman"/>
                <w:sz w:val="24"/>
              </w:rPr>
              <w:t></w:t>
            </w:r>
            <w:r>
              <w:tab/>
            </w:r>
            <w:r>
              <w:rPr>
                <w:rFonts w:ascii="Times New Roman" w:hAnsi="Times New Roman"/>
                <w:sz w:val="24"/>
              </w:rPr>
              <w:t>για κάθε μία από τις στήλες 0010, 0020 και 0030, το συνολικό ποσό των οφειλόμενων ποσών/το μέγιστο ποσό που μπορεί να αναληφθεί εντός ομίλου ή θεσμικού συστήματος προστασίας, ως το άθροισμα των οφειλόμενων ποσών/του μέγιστου ποσού που μπορεί να αναληφθεί εντός ομίλου ή θεσμικού συστήματος προστασίας, ανά τύπο συναλλαγής και αντισυμβαλλομένου· και</w:t>
            </w:r>
          </w:p>
          <w:p w14:paraId="46594894" w14:textId="142E3B0B" w:rsidR="007453EC" w:rsidRPr="000B6B22" w:rsidRDefault="007453EC">
            <w:pPr>
              <w:spacing w:before="0"/>
              <w:ind w:left="720" w:hanging="360"/>
              <w:rPr>
                <w:rFonts w:ascii="Times New Roman" w:hAnsi="Times New Roman"/>
                <w:b/>
                <w:bCs/>
                <w:sz w:val="24"/>
              </w:rPr>
            </w:pPr>
            <w:r>
              <w:rPr>
                <w:rFonts w:ascii="Times New Roman" w:hAnsi="Times New Roman"/>
                <w:sz w:val="24"/>
              </w:rPr>
              <w:t></w:t>
            </w:r>
            <w:r>
              <w:tab/>
            </w:r>
            <w:r>
              <w:rPr>
                <w:rFonts w:ascii="Times New Roman" w:hAnsi="Times New Roman"/>
                <w:sz w:val="24"/>
              </w:rPr>
              <w:t>για κάθε μία από τις στήλες 0140, 0150 και 0160, τις συνολικές εισροές εντός ομίλου ή θεσμικού συστήματος προστασίας, ως το άθροισμα των εισροών εντός ομίλου ή θεσμικού συστήματος προστασίας ανά τύπο συναλλαγής και αντισυμβαλλομένου.</w:t>
            </w:r>
          </w:p>
        </w:tc>
      </w:tr>
      <w:tr w:rsidR="00B47B7D" w:rsidRPr="000B6B22" w14:paraId="081C1F8E" w14:textId="77777777" w:rsidTr="00454544">
        <w:tc>
          <w:tcPr>
            <w:tcW w:w="756" w:type="dxa"/>
            <w:shd w:val="clear" w:color="auto" w:fill="auto"/>
            <w:vAlign w:val="center"/>
          </w:tcPr>
          <w:p w14:paraId="080C6047" w14:textId="0A98DE3A" w:rsidR="007453EC" w:rsidRPr="000B6B22" w:rsidRDefault="00DF552C" w:rsidP="009D4EFF">
            <w:pPr>
              <w:spacing w:before="0"/>
              <w:rPr>
                <w:rFonts w:ascii="Times New Roman" w:hAnsi="Times New Roman"/>
                <w:sz w:val="24"/>
              </w:rPr>
            </w:pPr>
            <w:r>
              <w:rPr>
                <w:rFonts w:ascii="Times New Roman" w:hAnsi="Times New Roman"/>
                <w:sz w:val="24"/>
              </w:rPr>
              <w:lastRenderedPageBreak/>
              <w:t>0470</w:t>
            </w:r>
          </w:p>
        </w:tc>
        <w:tc>
          <w:tcPr>
            <w:tcW w:w="7540" w:type="dxa"/>
            <w:shd w:val="clear" w:color="auto" w:fill="auto"/>
            <w:vAlign w:val="center"/>
          </w:tcPr>
          <w:p w14:paraId="5DD639AA" w14:textId="6554B0B7" w:rsidR="007453EC" w:rsidRPr="000B6B22" w:rsidRDefault="007453EC">
            <w:pPr>
              <w:spacing w:before="0"/>
              <w:rPr>
                <w:rFonts w:ascii="Times New Roman" w:hAnsi="Times New Roman"/>
                <w:bCs/>
                <w:sz w:val="24"/>
              </w:rPr>
            </w:pPr>
            <w:r>
              <w:rPr>
                <w:rFonts w:ascii="Times New Roman" w:hAnsi="Times New Roman"/>
                <w:b/>
                <w:sz w:val="24"/>
              </w:rPr>
              <w:t>3.1. Οφειλόμενα ποσά από μη χρηματοπιστωτικούς πελάτες (πλην των κεντρικών τραπεζών)</w:t>
            </w:r>
          </w:p>
          <w:p w14:paraId="7E6F1F99" w14:textId="77777777" w:rsidR="007453EC" w:rsidRPr="000B6B22" w:rsidRDefault="007453EC">
            <w:pPr>
              <w:spacing w:before="0"/>
              <w:rPr>
                <w:rFonts w:ascii="Times New Roman" w:hAnsi="Times New Roman"/>
                <w:b/>
                <w:bCs/>
                <w:sz w:val="24"/>
              </w:rPr>
            </w:pPr>
            <w:r>
              <w:rPr>
                <w:rFonts w:ascii="Times New Roman" w:hAnsi="Times New Roman"/>
                <w:sz w:val="24"/>
              </w:rPr>
              <w:t>Τα πιστωτικά ιδρύματα αναφέρουν εδώ όλα τα οφειλόμενα ποσά από μη χρηματοπιστωτικούς πελάτες που δηλώνονται στο τμήμα 1.1.1., όταν ο αντισυμβαλλόμενος είναι μητρική ή θυγατρική του πιστωτικού ιδρύματος ή άλλη θυγατρική της ίδιας μητρικής ή συνδέεται με το πιστωτικό ίδρυμα με σχέση κατά την έννοια του άρθρου 12 παράγραφος 1 της οδηγίας 83/349/ΕΟΚ ή μέλος του ίδιου θεσμικού συστήματος προστασίας που προβλέπεται στο άρθρο 113 παράγραφος 7 του κανονισμού (ΕΕ) αριθ. 575/2013 ή το κεντρικό ίδρυμα ή μέλος δικτύου ή συνεταιριστικού ομίλου που αναφέρεται στο άρθρο 10 του κανονισμού (ΕΕ) αριθ. 575/2013.</w:t>
            </w:r>
          </w:p>
        </w:tc>
      </w:tr>
      <w:tr w:rsidR="00B47B7D" w:rsidRPr="000B6B22" w14:paraId="7B63D320" w14:textId="77777777" w:rsidTr="00454544">
        <w:tc>
          <w:tcPr>
            <w:tcW w:w="756" w:type="dxa"/>
            <w:shd w:val="clear" w:color="auto" w:fill="auto"/>
            <w:vAlign w:val="center"/>
          </w:tcPr>
          <w:p w14:paraId="39F33E83" w14:textId="43A1DC1C" w:rsidR="007453EC" w:rsidRPr="000B6B22" w:rsidRDefault="00DF552C" w:rsidP="009D4EFF">
            <w:pPr>
              <w:spacing w:before="0"/>
              <w:rPr>
                <w:rFonts w:ascii="Times New Roman" w:hAnsi="Times New Roman"/>
                <w:sz w:val="24"/>
              </w:rPr>
            </w:pPr>
            <w:r>
              <w:rPr>
                <w:rFonts w:ascii="Times New Roman" w:hAnsi="Times New Roman"/>
                <w:sz w:val="24"/>
              </w:rPr>
              <w:t>0480</w:t>
            </w:r>
          </w:p>
        </w:tc>
        <w:tc>
          <w:tcPr>
            <w:tcW w:w="7540" w:type="dxa"/>
            <w:shd w:val="clear" w:color="auto" w:fill="auto"/>
            <w:vAlign w:val="center"/>
          </w:tcPr>
          <w:p w14:paraId="43B1FCB5" w14:textId="7D0C557C" w:rsidR="007453EC" w:rsidRPr="000B6B22" w:rsidRDefault="007453EC">
            <w:pPr>
              <w:spacing w:before="0"/>
              <w:rPr>
                <w:rFonts w:ascii="Times New Roman" w:hAnsi="Times New Roman"/>
                <w:bCs/>
                <w:sz w:val="24"/>
              </w:rPr>
            </w:pPr>
            <w:r>
              <w:rPr>
                <w:rFonts w:ascii="Times New Roman" w:hAnsi="Times New Roman"/>
                <w:b/>
                <w:sz w:val="24"/>
              </w:rPr>
              <w:t>3.2. Οφειλόμενα ποσά από χρηματοπιστωτικούς πελάτες</w:t>
            </w:r>
          </w:p>
          <w:p w14:paraId="1E3892C8" w14:textId="77777777" w:rsidR="007453EC" w:rsidRPr="000B6B22" w:rsidRDefault="007453EC">
            <w:pPr>
              <w:spacing w:before="0"/>
              <w:rPr>
                <w:rFonts w:ascii="Times New Roman" w:hAnsi="Times New Roman"/>
                <w:b/>
                <w:bCs/>
                <w:sz w:val="24"/>
              </w:rPr>
            </w:pPr>
            <w:r>
              <w:rPr>
                <w:rFonts w:ascii="Times New Roman" w:hAnsi="Times New Roman"/>
                <w:sz w:val="24"/>
              </w:rPr>
              <w:t>Τα πιστωτικά ιδρύματα αναφέρουν εδώ όλα τα οφειλόμενα ποσά από χρηματοπιστωτικούς πελάτες που δηλώνονται στο τμήμα 1.1.2., όταν ο αντισυμβαλλόμενος είναι μητρική ή θυγατρική του πιστωτικού ιδρύματος ή άλλη θυγατρική της ίδιας μητρικής ή συνδέεται με το πιστωτικό ίδρυμα με σχέση κατά την έννοια του άρθρου 12 παράγραφος 1 της οδηγίας 83/349/ΕΟΚ ή μέλος του ίδιου θεσμικού συστήματος προστασίας που προβλέπεται στο άρθρο 113 παράγραφος 7 του κανονισμού (ΕΕ) αριθ. 575/2013 ή το κεντρικό ίδρυμα ή μέλος δικτύου ή συνεταιριστικού ομίλου που αναφέρεται στο άρθρο 10 του κανονισμού (ΕΕ) αριθ. 575/2013.</w:t>
            </w:r>
          </w:p>
        </w:tc>
      </w:tr>
      <w:tr w:rsidR="00B47B7D" w:rsidRPr="000B6B22" w14:paraId="73AFAC25" w14:textId="77777777" w:rsidTr="00454544">
        <w:tc>
          <w:tcPr>
            <w:tcW w:w="756" w:type="dxa"/>
            <w:shd w:val="clear" w:color="auto" w:fill="auto"/>
            <w:vAlign w:val="center"/>
          </w:tcPr>
          <w:p w14:paraId="3FA775FA" w14:textId="228916FE" w:rsidR="007453EC" w:rsidRPr="000B6B22" w:rsidRDefault="00DF552C" w:rsidP="009D4EFF">
            <w:pPr>
              <w:spacing w:before="0"/>
              <w:rPr>
                <w:rFonts w:ascii="Times New Roman" w:hAnsi="Times New Roman"/>
                <w:sz w:val="24"/>
              </w:rPr>
            </w:pPr>
            <w:r>
              <w:rPr>
                <w:rFonts w:ascii="Times New Roman" w:hAnsi="Times New Roman"/>
                <w:sz w:val="24"/>
              </w:rPr>
              <w:t>0490</w:t>
            </w:r>
          </w:p>
        </w:tc>
        <w:tc>
          <w:tcPr>
            <w:tcW w:w="7540" w:type="dxa"/>
            <w:shd w:val="clear" w:color="auto" w:fill="auto"/>
            <w:vAlign w:val="center"/>
          </w:tcPr>
          <w:p w14:paraId="1665BB55" w14:textId="5D3883A9" w:rsidR="007453EC" w:rsidRPr="000B6B22" w:rsidRDefault="007453EC">
            <w:pPr>
              <w:spacing w:before="0"/>
              <w:rPr>
                <w:rFonts w:ascii="Times New Roman" w:hAnsi="Times New Roman"/>
                <w:bCs/>
                <w:sz w:val="24"/>
              </w:rPr>
            </w:pPr>
            <w:r>
              <w:rPr>
                <w:rFonts w:ascii="Times New Roman" w:hAnsi="Times New Roman"/>
                <w:b/>
                <w:sz w:val="24"/>
              </w:rPr>
              <w:t>3.3. Εξασφαλισμένες συναλλαγές</w:t>
            </w:r>
          </w:p>
          <w:p w14:paraId="57D0789B" w14:textId="3E2F0A5A" w:rsidR="007453EC" w:rsidRPr="000B6B22" w:rsidRDefault="007453EC">
            <w:pPr>
              <w:spacing w:before="0"/>
              <w:rPr>
                <w:rFonts w:ascii="Times New Roman" w:hAnsi="Times New Roman"/>
                <w:b/>
                <w:bCs/>
                <w:sz w:val="24"/>
              </w:rPr>
            </w:pPr>
            <w:r>
              <w:rPr>
                <w:rFonts w:ascii="Times New Roman" w:hAnsi="Times New Roman"/>
                <w:sz w:val="24"/>
              </w:rPr>
              <w:t xml:space="preserve">Τα πιστωτικά ιδρύματα αναφέρουν εδώ όλα τα οφειλόμενα ποσά από εξασφαλισμένες πιστοδοτήσεις και από συναλλαγές με όρους κεφαλαιαγοράς καθώς και τη συνολική αγοραία αξία των εξασφαλίσεων που έχουν ληφθεί και αναφέρονται στο τμήμα 1.2., όταν ο αντισυμβαλλόμενος είναι μητρική ή θυγατρική του πιστωτικού ιδρύματος ή άλλη θυγατρική της ίδιας μητρικής ή συνδέεται με το πιστωτικό ίδρυμα </w:t>
            </w:r>
            <w:r>
              <w:rPr>
                <w:rFonts w:ascii="Times New Roman" w:hAnsi="Times New Roman"/>
                <w:sz w:val="24"/>
              </w:rPr>
              <w:lastRenderedPageBreak/>
              <w:t>με σχέση κατά την έννοια του άρθρου 12 παράγραφος 1 της οδηγίας 83/349/ΕΟΚ ή μέλος του ίδιου θεσμικού συστήματος προστασίας που προβλέπεται στο άρθρο 113 παράγραφος 7 του κανονισμού (ΕΕ) αριθ. 575/2013 ή το κεντρικό ίδρυμα ή μέλος δικτύου ή συνεταιριστικού ομίλου που αναφέρεται στο άρθρο 10 του κανονισμού (ΕΕ) αριθ. 575/2013.</w:t>
            </w:r>
          </w:p>
        </w:tc>
      </w:tr>
      <w:tr w:rsidR="00B47B7D" w:rsidRPr="000B6B22" w14:paraId="454FF781" w14:textId="77777777" w:rsidTr="00454544">
        <w:tc>
          <w:tcPr>
            <w:tcW w:w="756" w:type="dxa"/>
            <w:shd w:val="clear" w:color="auto" w:fill="auto"/>
            <w:vAlign w:val="center"/>
          </w:tcPr>
          <w:p w14:paraId="356BFF7A" w14:textId="2BD4D5BC" w:rsidR="007453EC" w:rsidRPr="000B6B22" w:rsidRDefault="00DF552C" w:rsidP="009D4EFF">
            <w:pPr>
              <w:spacing w:before="0"/>
              <w:rPr>
                <w:rFonts w:ascii="Times New Roman" w:hAnsi="Times New Roman"/>
                <w:sz w:val="24"/>
              </w:rPr>
            </w:pPr>
            <w:r>
              <w:rPr>
                <w:rFonts w:ascii="Times New Roman" w:hAnsi="Times New Roman"/>
                <w:sz w:val="24"/>
              </w:rPr>
              <w:lastRenderedPageBreak/>
              <w:t>0500</w:t>
            </w:r>
          </w:p>
        </w:tc>
        <w:tc>
          <w:tcPr>
            <w:tcW w:w="7540" w:type="dxa"/>
            <w:shd w:val="clear" w:color="auto" w:fill="auto"/>
            <w:vAlign w:val="center"/>
          </w:tcPr>
          <w:p w14:paraId="0B34C4DD" w14:textId="2DACEA13" w:rsidR="007453EC" w:rsidRPr="000B6B22" w:rsidRDefault="007453EC">
            <w:pPr>
              <w:spacing w:before="0"/>
              <w:rPr>
                <w:rFonts w:ascii="Times New Roman" w:hAnsi="Times New Roman"/>
                <w:b/>
                <w:bCs/>
                <w:sz w:val="24"/>
              </w:rPr>
            </w:pPr>
            <w:r>
              <w:rPr>
                <w:rFonts w:ascii="Times New Roman" w:hAnsi="Times New Roman"/>
                <w:b/>
                <w:sz w:val="24"/>
              </w:rPr>
              <w:t>3.4. Οφειλόμενα ποσά από τίτλους που λήγουν εντός 30 ημερών</w:t>
            </w:r>
          </w:p>
          <w:p w14:paraId="02710816" w14:textId="77777777" w:rsidR="007453EC" w:rsidRPr="000B6B22" w:rsidRDefault="007453EC">
            <w:pPr>
              <w:spacing w:before="0"/>
              <w:rPr>
                <w:rFonts w:ascii="Times New Roman" w:hAnsi="Times New Roman"/>
                <w:b/>
                <w:bCs/>
                <w:sz w:val="24"/>
              </w:rPr>
            </w:pPr>
            <w:r>
              <w:rPr>
                <w:rFonts w:ascii="Times New Roman" w:hAnsi="Times New Roman"/>
                <w:sz w:val="24"/>
              </w:rPr>
              <w:t>Τα πιστωτικά ιδρύματα αναφέρουν εδώ όλα τα οφειλόμενα ποσά από τίτλους που λήγουν εντός 30 ημερών και αναφέρονται στο τμήμα 1.1.5., όταν ο εκδότης είναι μητρική ή θυγατρική του πιστωτικού ιδρύματος ή άλλη θυγατρική της ίδιας μητρικής ή συνδέεται με το πιστωτικό ίδρυμα με σχέση κατά την έννοια του άρθρου 12 παράγραφος 1 της οδηγίας 83/349/ΕΟΚ ή μέλος του ίδιου θεσμικού συστήματος προστασίας που προβλέπεται στο άρθρο 113 παράγραφος 7 του κανονισμού (ΕΕ) αριθ. 575/2013 ή το κεντρικό ίδρυμα ή μέλος δικτύου ή συνεταιριστικού ομίλου που αναφέρεται στο άρθρο 10 του κανονισμού (ΕΕ) αριθ. 575/2013.</w:t>
            </w:r>
          </w:p>
        </w:tc>
      </w:tr>
      <w:tr w:rsidR="00B47B7D" w:rsidRPr="000B6B22" w14:paraId="10969525" w14:textId="77777777" w:rsidTr="00454544">
        <w:tc>
          <w:tcPr>
            <w:tcW w:w="756" w:type="dxa"/>
            <w:shd w:val="clear" w:color="auto" w:fill="auto"/>
            <w:vAlign w:val="center"/>
          </w:tcPr>
          <w:p w14:paraId="27D6DC98" w14:textId="6B6C6656" w:rsidR="007453EC" w:rsidRPr="000B6B22" w:rsidRDefault="00DF552C" w:rsidP="009D4EFF">
            <w:pPr>
              <w:spacing w:before="0"/>
              <w:rPr>
                <w:rFonts w:ascii="Times New Roman" w:hAnsi="Times New Roman"/>
                <w:sz w:val="24"/>
              </w:rPr>
            </w:pPr>
            <w:r>
              <w:rPr>
                <w:rFonts w:ascii="Times New Roman" w:hAnsi="Times New Roman"/>
                <w:sz w:val="24"/>
              </w:rPr>
              <w:t>0510</w:t>
            </w:r>
          </w:p>
        </w:tc>
        <w:tc>
          <w:tcPr>
            <w:tcW w:w="7540" w:type="dxa"/>
            <w:shd w:val="clear" w:color="auto" w:fill="auto"/>
            <w:vAlign w:val="center"/>
          </w:tcPr>
          <w:p w14:paraId="78D97DB2" w14:textId="5D9CAA66" w:rsidR="007453EC" w:rsidRPr="000B6B22" w:rsidRDefault="007453EC">
            <w:pPr>
              <w:spacing w:before="0"/>
              <w:rPr>
                <w:rFonts w:ascii="Times New Roman" w:hAnsi="Times New Roman"/>
                <w:bCs/>
                <w:sz w:val="24"/>
              </w:rPr>
            </w:pPr>
            <w:r>
              <w:rPr>
                <w:rFonts w:ascii="Times New Roman" w:hAnsi="Times New Roman"/>
                <w:b/>
                <w:sz w:val="24"/>
              </w:rPr>
              <w:t>3.5. Κάθε άλλη εισροή εντός ομίλου ή θεσμικού συστήματος προστασίας</w:t>
            </w:r>
          </w:p>
          <w:p w14:paraId="4AB804A2" w14:textId="251BA725" w:rsidR="007453EC" w:rsidRPr="000B6B22" w:rsidRDefault="007453EC">
            <w:pPr>
              <w:spacing w:before="0"/>
              <w:rPr>
                <w:rFonts w:ascii="Times New Roman" w:hAnsi="Times New Roman"/>
                <w:b/>
                <w:bCs/>
                <w:sz w:val="24"/>
              </w:rPr>
            </w:pPr>
            <w:r>
              <w:rPr>
                <w:rFonts w:ascii="Times New Roman" w:hAnsi="Times New Roman"/>
                <w:sz w:val="24"/>
              </w:rPr>
              <w:t>Τα πιστωτικά ιδρύματα αναφέρουν εδώ κάθε άλλη εισροή εντός ομίλου ή θεσμικού συστήματος προστασίας που αναφέρεται στο τμήμα 1.1.3. έως 1.1.11 (εξαιρουμένων των τμημάτων 1.1.5 και 1.1.10.), όταν ο αντισυμβαλλόμενος είναι μητρική ή θυγατρική του πιστωτικού ιδρύματος ή άλλη θυγατρική της ίδιας μητρικής ή συνδέεται με το πιστωτικό ίδρυμα με σχέση κατά την έννοια του άρθρου 12 παράγραφος 1 της οδηγίας 83/349/ΕΟΚ, ή μέλος του ίδιου θεσμικού συστήματος προστασίας που προβλέπεται στο άρθρο 113 παράγραφος 7 του κανονισμού (ΕΕ) αριθ. 575/2013 ή το κεντρικό ίδρυμα ή μέλος δικτύου ή συνεταιριστικού ομίλου που αναφέρεται στο άρθρο 10 του κανονισμού (ΕΕ) αριθ. 575/2013.</w:t>
            </w:r>
          </w:p>
        </w:tc>
      </w:tr>
      <w:tr w:rsidR="00B47B7D" w:rsidRPr="000B6B22" w14:paraId="6F7ED649" w14:textId="77777777" w:rsidTr="00454544">
        <w:tc>
          <w:tcPr>
            <w:tcW w:w="756" w:type="dxa"/>
            <w:shd w:val="clear" w:color="auto" w:fill="auto"/>
            <w:vAlign w:val="center"/>
          </w:tcPr>
          <w:p w14:paraId="7BE45B31" w14:textId="77777777" w:rsidR="007453EC" w:rsidRPr="000B6B22" w:rsidRDefault="007453EC" w:rsidP="009D4EFF">
            <w:pPr>
              <w:spacing w:before="0"/>
              <w:rPr>
                <w:rFonts w:ascii="Times New Roman" w:hAnsi="Times New Roman"/>
                <w:sz w:val="24"/>
              </w:rPr>
            </w:pPr>
          </w:p>
        </w:tc>
        <w:tc>
          <w:tcPr>
            <w:tcW w:w="7540" w:type="dxa"/>
            <w:shd w:val="clear" w:color="auto" w:fill="auto"/>
            <w:vAlign w:val="center"/>
          </w:tcPr>
          <w:p w14:paraId="028B7432" w14:textId="63A9383A" w:rsidR="007453EC" w:rsidRPr="000B6B22" w:rsidRDefault="007453EC">
            <w:pPr>
              <w:spacing w:before="0"/>
              <w:rPr>
                <w:rFonts w:ascii="Times New Roman" w:hAnsi="Times New Roman"/>
                <w:b/>
                <w:bCs/>
                <w:sz w:val="24"/>
              </w:rPr>
            </w:pPr>
            <w:r>
              <w:rPr>
                <w:rFonts w:ascii="Times New Roman" w:hAnsi="Times New Roman"/>
                <w:b/>
                <w:sz w:val="24"/>
              </w:rPr>
              <w:t>4. Εξασφαλισμένες πιστοδοτήσεις με απαλλαγή από το άρθρο 17 παράγραφοι 2 και 3</w:t>
            </w:r>
          </w:p>
          <w:p w14:paraId="3AF54C59" w14:textId="311443FF" w:rsidR="007453EC" w:rsidRPr="000B6B22" w:rsidDel="00F07329" w:rsidRDefault="007453EC">
            <w:pPr>
              <w:spacing w:before="0"/>
              <w:rPr>
                <w:rFonts w:ascii="Times New Roman" w:hAnsi="Times New Roman"/>
                <w:b/>
                <w:bCs/>
                <w:sz w:val="24"/>
              </w:rPr>
            </w:pPr>
            <w:r>
              <w:rPr>
                <w:rFonts w:ascii="Times New Roman" w:hAnsi="Times New Roman"/>
                <w:sz w:val="24"/>
              </w:rPr>
              <w:t>Τα πιστωτικά ιδρύματα αναφέρουν εδώ πράξεις εξασφαλισμένου δανεισμού με εναπομένουσα ληκτότητα έως 30 ημέρες, όταν ο αντισυμβαλλόμενος είναι κεντρική τράπεζα και εφόσον οι σχετικές πράξεις εξαιρούνται από την εφαρμογή του άρθρου 17 παράγραφοι 2 και 3 του κατ’ εξουσιοδότηση κανονισμού (ΕΕ) 2015/61 βάσει του άρθρου 17 παράγραφος 4 του εν λόγω κανονισμού.</w:t>
            </w:r>
          </w:p>
        </w:tc>
      </w:tr>
      <w:tr w:rsidR="00B47B7D" w:rsidRPr="000B6B22" w14:paraId="59D7538E" w14:textId="77777777" w:rsidTr="00454544">
        <w:tc>
          <w:tcPr>
            <w:tcW w:w="756" w:type="dxa"/>
            <w:shd w:val="clear" w:color="auto" w:fill="auto"/>
            <w:vAlign w:val="center"/>
          </w:tcPr>
          <w:p w14:paraId="6FEFAB33" w14:textId="225B0CA1" w:rsidR="007453EC" w:rsidRPr="000B6B22" w:rsidRDefault="00DF552C" w:rsidP="009D4EFF">
            <w:pPr>
              <w:spacing w:before="0"/>
              <w:rPr>
                <w:rFonts w:ascii="Times New Roman" w:hAnsi="Times New Roman"/>
                <w:sz w:val="24"/>
              </w:rPr>
            </w:pPr>
            <w:r>
              <w:rPr>
                <w:rFonts w:ascii="Times New Roman" w:hAnsi="Times New Roman"/>
                <w:sz w:val="24"/>
              </w:rPr>
              <w:t>0530</w:t>
            </w:r>
          </w:p>
        </w:tc>
        <w:tc>
          <w:tcPr>
            <w:tcW w:w="7540" w:type="dxa"/>
            <w:shd w:val="clear" w:color="auto" w:fill="auto"/>
            <w:vAlign w:val="center"/>
          </w:tcPr>
          <w:p w14:paraId="5887A6F5" w14:textId="77777777" w:rsidR="007453EC" w:rsidRPr="000B6B22" w:rsidRDefault="007453EC">
            <w:pPr>
              <w:spacing w:before="0"/>
              <w:rPr>
                <w:rFonts w:ascii="Times New Roman" w:hAnsi="Times New Roman"/>
                <w:b/>
                <w:bCs/>
                <w:sz w:val="24"/>
              </w:rPr>
            </w:pPr>
            <w:r>
              <w:rPr>
                <w:rFonts w:ascii="Times New Roman" w:hAnsi="Times New Roman"/>
                <w:b/>
                <w:sz w:val="24"/>
              </w:rPr>
              <w:t>4.1. εκ των οποίων: εξασφαλισμένες με στοιχεία ενεργητικού επιπέδου 1 εξαιρουμένων των ΕΥΠΚΟ</w:t>
            </w:r>
          </w:p>
          <w:p w14:paraId="671CE057" w14:textId="109C0F2C" w:rsidR="007453EC" w:rsidRPr="000B6B22" w:rsidDel="00F07329" w:rsidRDefault="007453EC">
            <w:pPr>
              <w:spacing w:before="0"/>
              <w:rPr>
                <w:rFonts w:ascii="Times New Roman" w:hAnsi="Times New Roman"/>
                <w:b/>
                <w:bCs/>
                <w:sz w:val="24"/>
              </w:rPr>
            </w:pPr>
            <w:r>
              <w:rPr>
                <w:rFonts w:ascii="Times New Roman" w:hAnsi="Times New Roman"/>
                <w:sz w:val="24"/>
              </w:rPr>
              <w:t>Τα πιστωτικά ιδρύματα αναφέρουν εδώ πράξεις εξασφαλισμένου δανεισμού με ληκτότητα εντός 30 ημερολογιακών ημερών, όταν ο αντισυμβαλλόμενος είναι κεντρική τράπεζα, η λαμβανόμενη εξασφάλιση είναι εξασφάλιση επιπέδου 1, εξαιρουμένων των εξαιρετικά υψηλής ποιότητας καλυμμένων ομολόγων, και πληροί τις λειτουργικές απαιτήσεις που ορίζονται στο άρθρο 8 του κατ’ εξουσιοδότηση κανονισμού (ΕΕ) 2015/61, και όταν οι σχετικές πράξεις εξαιρούνται από την εφαρμογή του άρθρου 17 παράγραφοι 2 και 3 του κατ’ εξουσιοδότηση κανονισμού (ΕΕ) 2015/61 βάσει του άρθρου 17 παράγραφος 4 του εν λόγω κανονισμού.</w:t>
            </w:r>
          </w:p>
        </w:tc>
      </w:tr>
      <w:tr w:rsidR="00B47B7D" w:rsidRPr="000B6B22" w14:paraId="7D8A1D2C" w14:textId="77777777" w:rsidTr="00454544">
        <w:tc>
          <w:tcPr>
            <w:tcW w:w="756" w:type="dxa"/>
            <w:shd w:val="clear" w:color="auto" w:fill="auto"/>
            <w:vAlign w:val="center"/>
          </w:tcPr>
          <w:p w14:paraId="34AD4248" w14:textId="215DD1DD" w:rsidR="007453EC" w:rsidRPr="000B6B22" w:rsidRDefault="00DF552C" w:rsidP="009D4EFF">
            <w:pPr>
              <w:spacing w:before="0"/>
              <w:rPr>
                <w:rFonts w:ascii="Times New Roman" w:hAnsi="Times New Roman"/>
                <w:sz w:val="24"/>
              </w:rPr>
            </w:pPr>
            <w:r>
              <w:rPr>
                <w:rFonts w:ascii="Times New Roman" w:hAnsi="Times New Roman"/>
                <w:sz w:val="24"/>
              </w:rPr>
              <w:lastRenderedPageBreak/>
              <w:t>0540</w:t>
            </w:r>
          </w:p>
        </w:tc>
        <w:tc>
          <w:tcPr>
            <w:tcW w:w="7540" w:type="dxa"/>
            <w:shd w:val="clear" w:color="auto" w:fill="auto"/>
            <w:vAlign w:val="center"/>
          </w:tcPr>
          <w:p w14:paraId="75D499DF" w14:textId="77777777" w:rsidR="007453EC" w:rsidRPr="000B6B22" w:rsidRDefault="007453EC">
            <w:pPr>
              <w:spacing w:before="0"/>
              <w:rPr>
                <w:rFonts w:ascii="Times New Roman" w:hAnsi="Times New Roman"/>
                <w:b/>
                <w:bCs/>
                <w:sz w:val="24"/>
              </w:rPr>
            </w:pPr>
            <w:r>
              <w:rPr>
                <w:rFonts w:ascii="Times New Roman" w:hAnsi="Times New Roman"/>
                <w:b/>
                <w:sz w:val="24"/>
              </w:rPr>
              <w:t>4.2. εκ των οποίων: εξασφαλισμένες με ΕΥΠΚΟ επιπέδου 1</w:t>
            </w:r>
          </w:p>
          <w:p w14:paraId="781FF86B" w14:textId="37BA2EDA" w:rsidR="007453EC" w:rsidRPr="000B6B22" w:rsidDel="00F07329" w:rsidRDefault="007453EC">
            <w:pPr>
              <w:spacing w:before="0"/>
              <w:rPr>
                <w:rFonts w:ascii="Times New Roman" w:hAnsi="Times New Roman"/>
                <w:b/>
                <w:bCs/>
                <w:sz w:val="24"/>
              </w:rPr>
            </w:pPr>
            <w:r>
              <w:rPr>
                <w:rFonts w:ascii="Times New Roman" w:hAnsi="Times New Roman"/>
                <w:sz w:val="24"/>
              </w:rPr>
              <w:t>Τα πιστωτικά ιδρύματα αναφέρουν εδώ πράξεις εξασφαλισμένου δανεισμού με ληκτότητα εντός 30 ημερολογιακών ημερών, όταν ο αντισυμβαλλόμενος είναι κεντρική τράπεζα, η λαμβανόμενη εξασφάλιση είναι εξασφάλιση επιπέδου 1 που συνίσταται σε εξαιρετικά υψηλής ποιότητας καλυμμένα ομόλογα και πληροί τις λειτουργικές απαιτήσεις που ορίζονται στο άρθρο 8 του κατ’ εξουσιοδότηση κανονισμού (ΕΕ) 2015/61, και όταν οι σχετικές πράξεις εξαιρούνται από την εφαρμογή του άρθρου 17 παράγραφοι 2 και 3 του κατ’ εξουσιοδότηση κανονισμού (ΕΕ) 2015/61 βάσει του άρθρου 17 παράγραφος 4 του εν λόγω κανονισμού.</w:t>
            </w:r>
          </w:p>
        </w:tc>
      </w:tr>
      <w:tr w:rsidR="00B47B7D" w:rsidRPr="000B6B22" w14:paraId="3E2EEF1E" w14:textId="77777777" w:rsidTr="00454544">
        <w:tc>
          <w:tcPr>
            <w:tcW w:w="756" w:type="dxa"/>
            <w:shd w:val="clear" w:color="auto" w:fill="auto"/>
            <w:vAlign w:val="center"/>
          </w:tcPr>
          <w:p w14:paraId="368E2E60" w14:textId="012FEC17" w:rsidR="007453EC" w:rsidRPr="000B6B22" w:rsidRDefault="00DF552C" w:rsidP="009D4EFF">
            <w:pPr>
              <w:spacing w:before="0"/>
              <w:rPr>
                <w:rFonts w:ascii="Times New Roman" w:hAnsi="Times New Roman"/>
                <w:sz w:val="24"/>
              </w:rPr>
            </w:pPr>
            <w:r>
              <w:rPr>
                <w:rFonts w:ascii="Times New Roman" w:hAnsi="Times New Roman"/>
                <w:sz w:val="24"/>
              </w:rPr>
              <w:t>0550</w:t>
            </w:r>
          </w:p>
        </w:tc>
        <w:tc>
          <w:tcPr>
            <w:tcW w:w="7540" w:type="dxa"/>
            <w:shd w:val="clear" w:color="auto" w:fill="auto"/>
            <w:vAlign w:val="center"/>
          </w:tcPr>
          <w:p w14:paraId="0795E96D" w14:textId="77777777" w:rsidR="007453EC" w:rsidRPr="000B6B22" w:rsidRDefault="007453EC">
            <w:pPr>
              <w:spacing w:before="0"/>
              <w:rPr>
                <w:rFonts w:ascii="Times New Roman" w:hAnsi="Times New Roman"/>
                <w:b/>
                <w:bCs/>
                <w:sz w:val="24"/>
              </w:rPr>
            </w:pPr>
            <w:r>
              <w:rPr>
                <w:rFonts w:ascii="Times New Roman" w:hAnsi="Times New Roman"/>
                <w:b/>
                <w:sz w:val="24"/>
              </w:rPr>
              <w:t>4.3. εκ των οποίων: εξασφαλισμένες με στοιχεία ενεργητικού επιπέδου 2A</w:t>
            </w:r>
          </w:p>
          <w:p w14:paraId="1D28B831" w14:textId="6834268C" w:rsidR="007453EC" w:rsidRPr="000B6B22" w:rsidDel="00F07329" w:rsidRDefault="007453EC">
            <w:pPr>
              <w:spacing w:before="0"/>
              <w:rPr>
                <w:rFonts w:ascii="Times New Roman" w:hAnsi="Times New Roman"/>
                <w:b/>
                <w:bCs/>
                <w:sz w:val="24"/>
              </w:rPr>
            </w:pPr>
            <w:r>
              <w:rPr>
                <w:rFonts w:ascii="Times New Roman" w:hAnsi="Times New Roman"/>
                <w:sz w:val="24"/>
              </w:rPr>
              <w:t>Τα πιστωτικά ιδρύματα αναφέρουν εδώ πράξεις εξασφαλισμένου δανεισμού με ληκτότητα εντός 30 ημερολογιακών ημερών, όταν ο αντισυμβαλλόμενος είναι κεντρική τράπεζα, η λαμβανόμενη εξασφάλιση είναι εξασφάλιση επιπέδου 2Α και πληροί τις λειτουργικές απαιτήσεις που ορίζονται στο άρθρο 8 του κατ’ εξουσιοδότηση κανονισμού (ΕΕ) 2015/61, και όταν οι σχετικές πράξεις εξαιρούνται από την εφαρμογή του άρθρου 17 παράγραφοι 2 και 3 του κατ’ εξουσιοδότηση κανονισμού (ΕΕ) 2015/61 βάσει του άρθρου 17 παράγραφος 4 του εν λόγω κανονισμού.</w:t>
            </w:r>
          </w:p>
        </w:tc>
      </w:tr>
      <w:tr w:rsidR="00B47B7D" w:rsidRPr="000B6B22" w14:paraId="0DB258F8" w14:textId="77777777" w:rsidTr="00454544">
        <w:tc>
          <w:tcPr>
            <w:tcW w:w="756" w:type="dxa"/>
            <w:shd w:val="clear" w:color="auto" w:fill="auto"/>
            <w:vAlign w:val="center"/>
          </w:tcPr>
          <w:p w14:paraId="29981808" w14:textId="64626720" w:rsidR="007453EC" w:rsidRPr="000B6B22" w:rsidRDefault="00DF552C" w:rsidP="009D4EFF">
            <w:pPr>
              <w:spacing w:before="0"/>
              <w:rPr>
                <w:rFonts w:ascii="Times New Roman" w:hAnsi="Times New Roman"/>
                <w:sz w:val="24"/>
              </w:rPr>
            </w:pPr>
            <w:r>
              <w:rPr>
                <w:rFonts w:ascii="Times New Roman" w:hAnsi="Times New Roman"/>
                <w:sz w:val="24"/>
              </w:rPr>
              <w:t>0560</w:t>
            </w:r>
          </w:p>
        </w:tc>
        <w:tc>
          <w:tcPr>
            <w:tcW w:w="7540" w:type="dxa"/>
            <w:shd w:val="clear" w:color="auto" w:fill="auto"/>
            <w:vAlign w:val="center"/>
          </w:tcPr>
          <w:p w14:paraId="4ADEC558" w14:textId="583BA053" w:rsidR="007453EC" w:rsidRPr="000B6B22" w:rsidRDefault="007453EC">
            <w:pPr>
              <w:spacing w:before="0"/>
              <w:rPr>
                <w:rFonts w:ascii="Times New Roman" w:hAnsi="Times New Roman"/>
                <w:b/>
                <w:bCs/>
                <w:sz w:val="24"/>
              </w:rPr>
            </w:pPr>
            <w:r>
              <w:rPr>
                <w:rFonts w:ascii="Times New Roman" w:hAnsi="Times New Roman"/>
                <w:b/>
                <w:sz w:val="24"/>
              </w:rPr>
              <w:t>4.4. εκ των οποίων: εξασφαλισμένες με στοιχεία ενεργητικού επιπέδου 2Β</w:t>
            </w:r>
          </w:p>
          <w:p w14:paraId="5F45A406" w14:textId="4737FCA1" w:rsidR="007453EC" w:rsidRPr="000B6B22" w:rsidDel="00F07329" w:rsidRDefault="007453EC">
            <w:pPr>
              <w:spacing w:before="0"/>
              <w:rPr>
                <w:rFonts w:ascii="Times New Roman" w:hAnsi="Times New Roman"/>
                <w:b/>
                <w:bCs/>
                <w:sz w:val="24"/>
              </w:rPr>
            </w:pPr>
            <w:r>
              <w:rPr>
                <w:rFonts w:ascii="Times New Roman" w:hAnsi="Times New Roman"/>
                <w:sz w:val="24"/>
              </w:rPr>
              <w:t>Τα πιστωτικά ιδρύματα αναφέρουν εδώ πράξεις εξασφαλισμένου δανεισμού με ληκτότητα εντός 30 ημερολογιακών ημερών, όταν ο αντισυμβαλλόμενος είναι κεντρική τράπεζα, η λαμβανόμενη εξασφάλιση είναι εξασφάλιση επιπέδου 2Β και πληροί τις λειτουργικές απαιτήσεις που ορίζονται στο άρθρο 8 του κατ’ εξουσιοδότηση κανονισμού (ΕΕ) 2015/61, και όταν οι σχετικές πράξεις εξαιρούνται από την εφαρμογή του άρθρου 17 παράγραφοι 2 και 3 του κατ’ εξουσιοδότηση κανονισμού (ΕΕ) 2015/61 βάσει του άρθρου 17 παράγραφος 4 του εν λόγω κανονισμού.</w:t>
            </w:r>
          </w:p>
        </w:tc>
      </w:tr>
      <w:tr w:rsidR="003626D1" w:rsidRPr="000B6B22" w14:paraId="5C46341B" w14:textId="77777777" w:rsidTr="00454544">
        <w:tc>
          <w:tcPr>
            <w:tcW w:w="756" w:type="dxa"/>
            <w:shd w:val="clear" w:color="auto" w:fill="auto"/>
            <w:vAlign w:val="center"/>
          </w:tcPr>
          <w:p w14:paraId="0226D10C" w14:textId="4492EE60" w:rsidR="003626D1" w:rsidRPr="000B6B22" w:rsidRDefault="00DF552C" w:rsidP="009D4EFF">
            <w:pPr>
              <w:spacing w:before="0"/>
              <w:rPr>
                <w:rFonts w:ascii="Times New Roman" w:hAnsi="Times New Roman"/>
                <w:sz w:val="24"/>
              </w:rPr>
            </w:pPr>
            <w:r>
              <w:rPr>
                <w:rFonts w:ascii="Times New Roman" w:hAnsi="Times New Roman"/>
                <w:sz w:val="24"/>
              </w:rPr>
              <w:t>0570</w:t>
            </w:r>
          </w:p>
        </w:tc>
        <w:tc>
          <w:tcPr>
            <w:tcW w:w="7540" w:type="dxa"/>
            <w:shd w:val="clear" w:color="auto" w:fill="auto"/>
            <w:vAlign w:val="center"/>
          </w:tcPr>
          <w:p w14:paraId="3AB8F6E0" w14:textId="77777777" w:rsidR="003626D1" w:rsidRPr="000B6B22" w:rsidRDefault="003626D1">
            <w:pPr>
              <w:spacing w:before="0"/>
              <w:rPr>
                <w:rFonts w:ascii="Times New Roman" w:hAnsi="Times New Roman"/>
                <w:b/>
                <w:bCs/>
                <w:sz w:val="24"/>
              </w:rPr>
            </w:pPr>
            <w:r>
              <w:rPr>
                <w:rFonts w:ascii="Times New Roman" w:hAnsi="Times New Roman"/>
                <w:b/>
                <w:sz w:val="24"/>
              </w:rPr>
              <w:t>4.5. εκ των οποίων: εξασφαλισμένες με μη ρευστά στοιχεία ενεργητικού</w:t>
            </w:r>
          </w:p>
          <w:p w14:paraId="262E60D9" w14:textId="482CBC50" w:rsidR="003626D1" w:rsidRPr="000B6B22" w:rsidRDefault="003626D1">
            <w:pPr>
              <w:spacing w:before="0"/>
              <w:rPr>
                <w:rFonts w:ascii="Times New Roman" w:hAnsi="Times New Roman"/>
                <w:b/>
                <w:bCs/>
                <w:sz w:val="24"/>
              </w:rPr>
            </w:pPr>
            <w:r>
              <w:rPr>
                <w:rFonts w:ascii="Times New Roman" w:hAnsi="Times New Roman"/>
                <w:sz w:val="24"/>
              </w:rPr>
              <w:t>Τα πιστωτικά ιδρύματα αναφέρουν εδώ πράξεις εξασφαλισμένου δανεισμού με ληκτότητα εντός 30 ημερολογιακών ημερών, όταν ο αντισυμβαλλόμενος είναι κεντρική τράπεζα, η λαμβανόμενη εξασφάλιση είναι μη ρευστή εξασφάλιση και όταν οι σχετικές πράξεις εξαιρούνται από την εφαρμογή του άρθρου 17 παράγραφοι 2 και 3 του κατ’ εξουσιοδότηση κανονισμού (ΕΕ) 2015/61 βάσει του άρθρου 17 παράγραφος 4 του εν λόγω κανονισμού.</w:t>
            </w:r>
          </w:p>
        </w:tc>
      </w:tr>
    </w:tbl>
    <w:p w14:paraId="0BF06934" w14:textId="77777777" w:rsidR="007453EC" w:rsidRPr="000B6B22" w:rsidRDefault="007453EC">
      <w:pPr>
        <w:spacing w:before="0"/>
        <w:rPr>
          <w:rFonts w:ascii="Times New Roman" w:hAnsi="Times New Roman"/>
          <w:sz w:val="24"/>
        </w:rPr>
      </w:pPr>
    </w:p>
    <w:p w14:paraId="2653F699" w14:textId="583DE8DC" w:rsidR="006E48EA" w:rsidRPr="000B6B22" w:rsidRDefault="006E48EA">
      <w:pPr>
        <w:spacing w:before="0"/>
        <w:rPr>
          <w:rFonts w:ascii="Times New Roman" w:hAnsi="Times New Roman"/>
          <w:sz w:val="24"/>
        </w:rPr>
      </w:pPr>
    </w:p>
    <w:p w14:paraId="7E28165B" w14:textId="615852CB" w:rsidR="00881B4D" w:rsidRPr="000B6B22" w:rsidRDefault="00881B4D" w:rsidP="009D4EFF">
      <w:pPr>
        <w:spacing w:before="0"/>
        <w:rPr>
          <w:rFonts w:ascii="Times New Roman" w:hAnsi="Times New Roman"/>
          <w:sz w:val="24"/>
        </w:rPr>
      </w:pPr>
      <w:r>
        <w:br w:type="page"/>
      </w:r>
    </w:p>
    <w:p w14:paraId="2A99A7D3" w14:textId="71048DC8" w:rsidR="00F71050" w:rsidRPr="000B6B22" w:rsidRDefault="009D4EFF" w:rsidP="009D4EFF">
      <w:pPr>
        <w:spacing w:before="0"/>
        <w:rPr>
          <w:rFonts w:ascii="Times New Roman" w:eastAsia="PMingLiU" w:hAnsi="Times New Roman"/>
          <w:b/>
          <w:sz w:val="24"/>
        </w:rPr>
      </w:pPr>
      <w:r>
        <w:rPr>
          <w:rFonts w:ascii="Times New Roman" w:hAnsi="Times New Roman"/>
          <w:b/>
          <w:sz w:val="24"/>
        </w:rPr>
        <w:lastRenderedPageBreak/>
        <w:t>ΜΕΡΟΣ 4: ΠΡΑΞΕΙΣ ΑΝΤΑΛΛΑΓΗΣ ΕΞΑΣΦΑΛΙΣΕΩΝ</w:t>
      </w:r>
    </w:p>
    <w:p w14:paraId="63C813AE" w14:textId="77411E41" w:rsidR="00F71050" w:rsidRPr="000B6B22" w:rsidRDefault="0062009E">
      <w:pPr>
        <w:keepNext/>
        <w:spacing w:before="0"/>
        <w:ind w:left="357" w:hanging="357"/>
        <w:outlineLvl w:val="1"/>
        <w:rPr>
          <w:rFonts w:ascii="Times New Roman" w:eastAsia="PMingLiU" w:hAnsi="Times New Roman"/>
          <w:sz w:val="24"/>
        </w:rPr>
      </w:pPr>
      <w:r>
        <w:rPr>
          <w:rFonts w:ascii="Times New Roman" w:hAnsi="Times New Roman"/>
          <w:sz w:val="24"/>
        </w:rPr>
        <w:t>1.</w:t>
      </w:r>
      <w:r>
        <w:tab/>
      </w:r>
      <w:r>
        <w:rPr>
          <w:rFonts w:ascii="Times New Roman" w:hAnsi="Times New Roman"/>
          <w:sz w:val="24"/>
        </w:rPr>
        <w:t>Πράξεις ανταλλαγής εξασφαλίσεων</w:t>
      </w:r>
    </w:p>
    <w:p w14:paraId="0DA7E5BD" w14:textId="1832919C" w:rsidR="00F71050" w:rsidRPr="000B6B22" w:rsidRDefault="0062009E">
      <w:pPr>
        <w:keepNext/>
        <w:spacing w:before="0"/>
        <w:ind w:left="357" w:hanging="357"/>
        <w:outlineLvl w:val="1"/>
        <w:rPr>
          <w:rFonts w:ascii="Times New Roman" w:eastAsia="PMingLiU" w:hAnsi="Times New Roman"/>
          <w:sz w:val="24"/>
        </w:rPr>
      </w:pPr>
      <w:r>
        <w:rPr>
          <w:rFonts w:ascii="Times New Roman" w:hAnsi="Times New Roman"/>
          <w:sz w:val="24"/>
        </w:rPr>
        <w:t>1.1.</w:t>
      </w:r>
      <w:r>
        <w:tab/>
      </w:r>
      <w:r>
        <w:rPr>
          <w:rFonts w:ascii="Times New Roman" w:hAnsi="Times New Roman"/>
          <w:sz w:val="24"/>
        </w:rPr>
        <w:t>Γενικές παρατηρήσεις</w:t>
      </w:r>
    </w:p>
    <w:p w14:paraId="7D2529DF" w14:textId="59A0F58A" w:rsidR="00F71050" w:rsidRPr="000B6B22" w:rsidRDefault="00F71050">
      <w:pPr>
        <w:pStyle w:val="InstructionsText2"/>
        <w:numPr>
          <w:ilvl w:val="0"/>
          <w:numId w:val="114"/>
        </w:numPr>
        <w:spacing w:after="120"/>
        <w:rPr>
          <w:rFonts w:eastAsia="PMingLiU" w:cs="Times New Roman"/>
          <w:sz w:val="24"/>
          <w:szCs w:val="24"/>
        </w:rPr>
      </w:pPr>
      <w:r>
        <w:rPr>
          <w:sz w:val="24"/>
        </w:rPr>
        <w:t>Κάθε συναλλαγή που λήγει εντός των επόμενων 30 ημερολογιακών ημερών, κατά την οποία εκτός μετρητών στοιχεία ενεργητικού ανταλλάσσονται με άλλα εκτός μετρητών στοιχεία ενεργητικού, αναφέρεται στο παρόν υπόδειγμα. Τα στοιχεία που δεν χρειάζεται να συμπληρωθούν από τα ιδρύματα χρωματίζονται με γκρι.</w:t>
      </w:r>
    </w:p>
    <w:p w14:paraId="15C44248" w14:textId="2487973B" w:rsidR="00F71050" w:rsidRPr="000B6B22" w:rsidRDefault="00F71050">
      <w:pPr>
        <w:pStyle w:val="InstructionsText2"/>
        <w:spacing w:after="120"/>
        <w:rPr>
          <w:rFonts w:eastAsia="PMingLiU" w:cs="Times New Roman"/>
          <w:sz w:val="24"/>
          <w:szCs w:val="24"/>
        </w:rPr>
      </w:pPr>
      <w:r>
        <w:rPr>
          <w:sz w:val="24"/>
        </w:rPr>
        <w:t>Οι πράξεις ανταλλαγής εξασφαλίσεων που λήγουν εντός των επόμενων 30 ημερολογιακών ημερών οδηγούν σε εκροή, εάν το στοιχείο ενεργητικού που αποτελεί αντικείμενο δανειοληψίας υπόκειται σε απαιτήσεις χαμηλότερης περικοπής, σύμφωνα με το κεφάλαιο 2 του κατ’ εξουσιοδότηση κανονισμού (ΕΕ) 2015/61, σε σχέση με το στοιχείο ενεργητικού που αποτελεί αντικείμενο δανειοδοσίας. Η εκροή υπολογίζεται πολλαπλασιάζοντας την αγοραία αξία του στοιχείου ενεργητικού που αποτελεί αντικείμενο δανειοληψίας επί τη διαφορά μεταξύ του ποσοστού εκροών που ισχύει για το στοιχείο ενεργητικού που αποτελεί αντικείμενο δανειοδοσίας και του ποσοστού εκροών που ισχύει για το στοιχείο ενεργητικού που αποτελεί αντικείμενο δανειοληψίας σε πράξεις εξασφαλισμένης χρηματοδότησης που λήγουν εντός των επόμενων 30 ημερολογιακών ημερών. Σε περίπτωση που ο αντισυμβαλλόμενος είναι η εθνική κεντρική τράπεζα του πιστωτικού ιδρύματος, το ποσοστό εκροών που εφαρμόζεται στην αγοραία αξία του στοιχείου ενεργητικού που αποτελεί αντικείμενο δανειοληψίας είναι 0 %. Η έννοια της εθνικής κεντρικής τράπεζας του πιστωτικού ιδρύματος είναι σύμφωνη με τον ορισμό που παρέχεται στο άρθρο 28 παράγραφος 8 του κατ’ εξουσιοδότηση κανονισμού (ΕΕ) 2015/61.</w:t>
      </w:r>
    </w:p>
    <w:p w14:paraId="252F77C9" w14:textId="4C9BCC25" w:rsidR="00F71050" w:rsidRPr="000B6B22" w:rsidRDefault="00F71050">
      <w:pPr>
        <w:pStyle w:val="InstructionsText2"/>
        <w:spacing w:after="120"/>
        <w:rPr>
          <w:rFonts w:eastAsia="PMingLiU" w:cs="Times New Roman"/>
          <w:sz w:val="24"/>
          <w:szCs w:val="24"/>
        </w:rPr>
      </w:pPr>
      <w:r>
        <w:rPr>
          <w:sz w:val="24"/>
        </w:rPr>
        <w:t>Οι πράξεις ανταλλαγής εξασφαλίσεων που λήγουν εντός των επόμενων 30 ημερολογιακών ημερών οδηγούν σε εισροή όταν, σύμφωνα με το κεφάλαιο 2 του κατ’ εξουσιοδότηση κανονισμού (ΕΕ) 2015/61, το στοιχείο ενεργητικού που αποτελεί αντικείμενο δανειοδοσίας υπόκειται σε απαιτήσεις χαμηλότερης περικοπής σε σχέση με το στοιχείο ενεργητικού που αποτελεί αντικείμενο δανειοληψίας. Η εισροή υπολογίζεται πολλαπλασιάζοντας την αγοραία αξία του στοιχείου ενεργητικού που αποτελεί αντικείμενο δανειοδοσίας επί τη διαφορά μεταξύ του ποσοστού εισροών που ισχύει για το στοιχείο ενεργητικού που αποτελεί αντικείμενο δανειοληψίας και του ποσοστού εισροών που ισχύει για το στοιχείο ενεργητικού που αποτελεί αντικείμενο δανειοδοσίας σε πράξεις εξασφαλισμένου δανεισμού που λήγουν εντός των επόμενων 30 ημερολογιακών ημερών. Εάν οι ληφθείσες εξασφαλίσεις χρησιμοποιούνται για την κάλυψη αρνητικών θέσεων που μπορούν να παραταθούν πέραν των 30 ημερολογιακών ημερών, δεν αναγνωρίζονται εισροές.</w:t>
      </w:r>
    </w:p>
    <w:p w14:paraId="29131344" w14:textId="4A439145" w:rsidR="00F71050" w:rsidRPr="000B6B22" w:rsidRDefault="00F71050">
      <w:pPr>
        <w:pStyle w:val="InstructionsText2"/>
        <w:spacing w:after="120"/>
        <w:rPr>
          <w:rFonts w:eastAsia="PMingLiU" w:cs="Times New Roman"/>
          <w:sz w:val="24"/>
          <w:szCs w:val="24"/>
        </w:rPr>
      </w:pPr>
      <w:r>
        <w:rPr>
          <w:sz w:val="24"/>
        </w:rPr>
        <w:t>Για ρευστά στοιχεία ενεργητικού, η αξία ρευστοποίησης υπολογίζεται σύμφωνα με το άρθρο 9 του κατ’ εξουσιοδότηση κανονισμού (ΕΕ) 2015/61.</w:t>
      </w:r>
    </w:p>
    <w:p w14:paraId="5BD6E8D9" w14:textId="09E78D86" w:rsidR="00F71050" w:rsidRPr="000B6B22" w:rsidRDefault="00F71050">
      <w:pPr>
        <w:pStyle w:val="InstructionsText2"/>
        <w:spacing w:after="120"/>
        <w:rPr>
          <w:rFonts w:eastAsia="PMingLiU" w:cs="Times New Roman"/>
          <w:sz w:val="24"/>
          <w:szCs w:val="24"/>
        </w:rPr>
      </w:pPr>
      <w:r>
        <w:rPr>
          <w:sz w:val="24"/>
        </w:rPr>
        <w:t xml:space="preserve">Κάθε πράξη ανταλλαγής εξασφαλίσεων αξιολογείται σε ατομική βάση και η ροή αναφέρεται είτε ως εκροή είτε ως εισροή (ανά συναλλαγή) στην αντίστοιχη γραμμή. Εάν μια συναλλαγή περιέχει πολλαπλές κατηγορίες εξασφαλίσεων (π.χ. μια δέσμη εξασφαλίσεων), για την υποβολή αναφορών χωρίζεται σε μέρη που έχουν αντιστοιχία με τις γραμμές του υποδείγματος και αξιολογείται τμηματικά. Στο πλαίσιο των πράξεων ανταλλαγής δεσμών ή ομάδων εξασφαλίσεων που λήγουν εντός των επόμενων 30 ημερολογιακών ημερών, τα </w:t>
      </w:r>
      <w:r>
        <w:rPr>
          <w:sz w:val="24"/>
        </w:rPr>
        <w:lastRenderedPageBreak/>
        <w:t>εκτός μετρητών στοιχεία ενεργητικού που αποτελούν αντικείμενο δανειοδοσίας συσχετίζονται ατομικά με τα εκτός μετρητών στοιχεία ενεργητικού που αποτελούν αντικείμενο δανειοληψίας, σύμφωνα με τις κατηγορίες ρευστών στοιχείων ενεργητικού που ορίζονται στον τίτλο II κεφάλαιο 2 του κατ’ εξουσιοδότηση κανονισμού (ΕΕ) 2015/61, ξεκινώντας από τον συνδυασμό με τη μικρότερη ρευστότητα (δηλαδή μη ρευστά και εκτός μετρητών στοιχεία ενεργητικού που αποτελούν αντικείμενο δανειοδοσίας, μη ρευστά και εκτός μετρητών στοιχεία ενεργητικού που αποτελούν αντικείμενο δανειοληψίας). Κάθε υπερβάλλον ποσό εξασφαλίσεων εντός ενός συνδυασμού μεταφέρεται στην ανώτερη κατηγορία, έτσι ώστε να αντιστοιχιστούν πλήρως οι σχετικοί συνδυασμοί, έως τον συνδυασμό με τη μεγαλύτερη ρευστότητα. Στη συνέχεια, τυχόν συνολικό υπερβάλλον ποσό εξασφαλίσεων αποτυπώνεται στον συνδυασμό με τη μεγαλύτερη ρευστότητα.</w:t>
      </w:r>
    </w:p>
    <w:p w14:paraId="5EAFC22B" w14:textId="35C61A17" w:rsidR="00F71050" w:rsidRPr="000B6B22" w:rsidRDefault="00F71050">
      <w:pPr>
        <w:pStyle w:val="InstructionsText2"/>
        <w:spacing w:after="120"/>
        <w:rPr>
          <w:rFonts w:eastAsia="PMingLiU" w:cs="Times New Roman"/>
          <w:sz w:val="24"/>
          <w:szCs w:val="24"/>
        </w:rPr>
      </w:pPr>
      <w:r>
        <w:rPr>
          <w:sz w:val="24"/>
        </w:rPr>
        <w:t>Οι πράξεις ανταλλαγής εξασφαλίσεων που αφορούν μετοχές ή μερίδια σε ΟΣΕ αναφέρονται ως εάν οι πράξεις να περιλαμβάνουν τα στοιχεία ενεργητικού στα οποία βασίζεται ο ΟΣΕ. Τα διάφορα ποσοστά περικοπής που εφαρμόζονται στις μετοχές ή τα μερίδια σε ΟΣΕ αντικατοπτρίζονται στο σχετικό ποσοστό εκροής ή εισροής που πρέπει να αναφέρεται.</w:t>
      </w:r>
    </w:p>
    <w:p w14:paraId="17B8D6B2" w14:textId="132D07E7" w:rsidR="00F71050" w:rsidRPr="000B6B22" w:rsidRDefault="00F71050">
      <w:pPr>
        <w:pStyle w:val="InstructionsText2"/>
        <w:spacing w:after="120"/>
        <w:rPr>
          <w:rFonts w:eastAsia="PMingLiU" w:cs="Times New Roman"/>
          <w:sz w:val="24"/>
          <w:szCs w:val="24"/>
        </w:rPr>
      </w:pPr>
      <w:r>
        <w:rPr>
          <w:sz w:val="24"/>
        </w:rPr>
        <w:t>Τα πιστωτικά ιδρύματα υποβάλλουν το υπόδειγμα στα αντίστοιχα νομίσματα, σύμφωνα με το άρθρο 415 παράγραφος 2 του κανονισμού (ΕΕ) 575/2013. Σε αυτή την περίπτωση, τα αναφερόμενα υπόλοιπα περιλαμβάνουν μόνον εκείνα που είναι εκφρασμένα στο σχετικό νόμισμα, για να εξασφαλιστεί η ορθή αποτύπωση των συναλλαγματικών αποκλίσεων. Αυτό ενδεχομένως σημαίνει ότι μόνο ένα σκέλος της συναλλαγής αναφέρεται στο υπόδειγμα σε σχετικό νόμισμα, με την αντίστοιχη επίπτωση στην υπερβάλλουσα αξία ρευστοποίησης.</w:t>
      </w:r>
    </w:p>
    <w:p w14:paraId="291133CC" w14:textId="4194EBA0" w:rsidR="00F71050" w:rsidRPr="000B6B22" w:rsidRDefault="00F71050">
      <w:pPr>
        <w:keepNext/>
        <w:spacing w:before="0"/>
        <w:ind w:left="357" w:hanging="357"/>
        <w:outlineLvl w:val="1"/>
        <w:rPr>
          <w:rFonts w:ascii="Times New Roman" w:eastAsia="PMingLiU" w:hAnsi="Times New Roman"/>
          <w:sz w:val="24"/>
        </w:rPr>
      </w:pPr>
      <w:r>
        <w:rPr>
          <w:rFonts w:ascii="Times New Roman" w:hAnsi="Times New Roman"/>
          <w:sz w:val="24"/>
        </w:rPr>
        <w:t>1.2. Ειδικές παρατηρήσεις</w:t>
      </w:r>
    </w:p>
    <w:p w14:paraId="13FCD761" w14:textId="6F946856" w:rsidR="00F71050" w:rsidRPr="000B6B22" w:rsidRDefault="00F71050">
      <w:pPr>
        <w:pStyle w:val="InstructionsText2"/>
        <w:spacing w:after="120"/>
        <w:rPr>
          <w:rFonts w:eastAsia="PMingLiU" w:cs="Times New Roman"/>
          <w:sz w:val="24"/>
          <w:szCs w:val="24"/>
        </w:rPr>
      </w:pPr>
      <w:r>
        <w:rPr>
          <w:sz w:val="24"/>
        </w:rPr>
        <w:t>Για τον υπολογισμό των εισροών ή εκροών, οι πράξεις ανταλλαγής εξασφαλίσεων αναφέρονται ανεξάρτητα από το κατά πόσον οι υποκείμενες εξασφαλίσεις πληρούν τις λειτουργικές απαιτήσεις, ή θα τις πληρούσαν εάν δεν χρησιμοποιούνταν ήδη για την εξασφάλιση της εν λόγω πράξης, όπως προβλέπεται στο άρθρο 8 του κατ’ εξουσιοδότηση κανονισμού (ΕΕ) 2015/61. Επιπλέον, προκειμένου να καταστεί δυνατός ο υπολογισμός του προσαρμοσμένου αποθέματος ρευστών στοιχείων ενεργητικού σύμφωνα με το άρθρο 17 παράγραφος 2 του κατ’ εξουσιοδότηση κανονισμού (ΕΕ) 2015/61, τα πιστωτικά ιδρύματα αναφέρουν επίσης χωριστά τις εν λόγω συναλλαγές όταν τουλάχιστον ένα σκέλος της εξασφάλισης πληροί τις λειτουργικές απαιτήσεις που προβλέπονται στο άρθρο 8 του κατ’ εξουσιοδότηση κανονισμού (ΕΕ) 2015/61.</w:t>
      </w:r>
    </w:p>
    <w:p w14:paraId="65DF558A" w14:textId="5BC1B3A1" w:rsidR="00F71050" w:rsidRPr="000B6B22" w:rsidRDefault="00F71050">
      <w:pPr>
        <w:pStyle w:val="InstructionsText2"/>
        <w:spacing w:after="120"/>
        <w:rPr>
          <w:rFonts w:eastAsia="PMingLiU" w:cs="Times New Roman"/>
          <w:sz w:val="24"/>
          <w:szCs w:val="24"/>
        </w:rPr>
      </w:pPr>
      <w:r>
        <w:rPr>
          <w:sz w:val="24"/>
        </w:rPr>
        <w:t xml:space="preserve">Όταν το ίδρυμα μπορεί να αναγνωρίσει μόνο μέρος των μετοχών του σε ξένο νόμισμα ή των στοιχείων ενεργητικού κεντρικής κυβέρνησης ή κεντρικής τράπεζας σε ξένο νόμισμα ή ή των στοιχείων ενεργητικού κεντρικής κυβέρνησης ή κεντρικής τράπεζας σε εθνικό νόμισμα ως υψηλής ποιότητας ρευστά στοιχεία ενεργητικού (HQLA), μόνο το αναγνωρίσιμο μέρος αναφέρεται στις γραμμές των στοιχείων ενεργητικού επιπέδων 1, 2Α και 2Β σύμφωνα με το άρθρο 12 παράγραφος 1 στοιχείο γ) σημείο ii) και το άρθρο 10 παράγραφος 1 στοιχείο δ) του κατ’ εξουσιοδότηση κανονισμού (ΕΕ) 2015/61. Όταν το συγκεκριμένο στοιχείο ενεργητικού χρησιμοποιείται ως εξασφάλιση αλλά για ποσό το οποίο υπερβαίνει το τμήμα που μπορεί να αναγνωριστεί εντός </w:t>
      </w:r>
      <w:r>
        <w:rPr>
          <w:sz w:val="24"/>
        </w:rPr>
        <w:lastRenderedPageBreak/>
        <w:t>των ρευστών στοιχείων ενεργητικού, το επιπλέον ποσό πρέπει να αναφέρεται στο τμήμα για τα μη ρευστά στοιχεία.</w:t>
      </w:r>
    </w:p>
    <w:p w14:paraId="43E17CE7" w14:textId="105C6179" w:rsidR="00F71050" w:rsidRPr="000B6B22" w:rsidRDefault="00F71050">
      <w:pPr>
        <w:pStyle w:val="InstructionsText2"/>
        <w:spacing w:after="120"/>
        <w:rPr>
          <w:rFonts w:eastAsia="PMingLiU" w:cs="Times New Roman"/>
          <w:sz w:val="24"/>
          <w:szCs w:val="24"/>
        </w:rPr>
      </w:pPr>
      <w:r>
        <w:rPr>
          <w:sz w:val="24"/>
        </w:rPr>
        <w:t>Οι πράξεις ανταλλαγής εξασφαλίσεων με στοιχεία ενεργητικού επιπέδου 2Α αναφέρονται στην αντίστοιχη γραμμή των στοιχείων ενεργητικού επιπέδου 2A, ακόμη και αν ακολουθείται η εναλλακτική προσέγγιση ρευστότητας (δηλαδή μη μετακινείτε το επίπεδο 2Α στο επίπεδο 1 κατά την αναφορά πράξεων ανταλλαγής εξασφαλίσεων).</w:t>
      </w:r>
    </w:p>
    <w:p w14:paraId="3C8187BB" w14:textId="41AF1E75" w:rsidR="00F71050" w:rsidRPr="000B6B22" w:rsidRDefault="0062009E">
      <w:pPr>
        <w:keepNext/>
        <w:spacing w:before="0"/>
        <w:ind w:left="720" w:hanging="720"/>
        <w:outlineLvl w:val="1"/>
        <w:rPr>
          <w:rFonts w:ascii="Times New Roman" w:eastAsia="PMingLiU" w:hAnsi="Times New Roman"/>
          <w:sz w:val="24"/>
        </w:rPr>
      </w:pPr>
      <w:r>
        <w:rPr>
          <w:rFonts w:ascii="Times New Roman" w:hAnsi="Times New Roman"/>
          <w:sz w:val="24"/>
        </w:rPr>
        <w:t>1.3.</w:t>
      </w:r>
      <w:r>
        <w:tab/>
      </w:r>
      <w:r>
        <w:rPr>
          <w:rFonts w:ascii="Times New Roman" w:hAnsi="Times New Roman"/>
          <w:sz w:val="24"/>
        </w:rPr>
        <w:t>Μέρος του υποδείγματος για πράξεις ανταλλαγής εξασφαλίσεων</w:t>
      </w:r>
    </w:p>
    <w:p w14:paraId="5040D44B" w14:textId="2E6019DD" w:rsidR="00F71050" w:rsidRPr="000B6B22" w:rsidRDefault="0062009E">
      <w:pPr>
        <w:keepNext/>
        <w:spacing w:before="0"/>
        <w:outlineLvl w:val="1"/>
        <w:rPr>
          <w:rFonts w:ascii="Times New Roman" w:eastAsia="PMingLiU" w:hAnsi="Times New Roman"/>
          <w:sz w:val="24"/>
        </w:rPr>
      </w:pPr>
      <w:r>
        <w:rPr>
          <w:rFonts w:ascii="Times New Roman" w:hAnsi="Times New Roman"/>
          <w:sz w:val="24"/>
        </w:rPr>
        <w:t>1.3.1</w:t>
      </w:r>
      <w:r>
        <w:tab/>
      </w:r>
      <w:r>
        <w:rPr>
          <w:rFonts w:ascii="Times New Roman" w:hAnsi="Times New Roman"/>
          <w:sz w:val="24"/>
        </w:rPr>
        <w:t>Οδηγίες για συγκεκριμένες στήλες</w:t>
      </w:r>
    </w:p>
    <w:tbl>
      <w:tblPr>
        <w:tblW w:w="822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7087"/>
      </w:tblGrid>
      <w:tr w:rsidR="00B47B7D" w:rsidRPr="000B6B22" w14:paraId="0AA084A4" w14:textId="77777777" w:rsidTr="0039321F">
        <w:tc>
          <w:tcPr>
            <w:tcW w:w="1135" w:type="dxa"/>
            <w:shd w:val="clear" w:color="auto" w:fill="E6E6E6"/>
          </w:tcPr>
          <w:p w14:paraId="621D2666" w14:textId="77777777" w:rsidR="00F71050" w:rsidRPr="000B6B22" w:rsidRDefault="00F71050">
            <w:pPr>
              <w:spacing w:before="0"/>
              <w:ind w:left="28"/>
              <w:rPr>
                <w:rFonts w:ascii="Times New Roman" w:eastAsia="PMingLiU" w:hAnsi="Times New Roman"/>
                <w:b/>
                <w:bCs/>
                <w:sz w:val="24"/>
              </w:rPr>
            </w:pPr>
            <w:r>
              <w:rPr>
                <w:rFonts w:ascii="Times New Roman" w:hAnsi="Times New Roman"/>
                <w:b/>
                <w:sz w:val="24"/>
              </w:rPr>
              <w:t>Στήλη</w:t>
            </w:r>
          </w:p>
        </w:tc>
        <w:tc>
          <w:tcPr>
            <w:tcW w:w="7087" w:type="dxa"/>
            <w:shd w:val="clear" w:color="auto" w:fill="E6E6E6"/>
          </w:tcPr>
          <w:p w14:paraId="1356F924" w14:textId="77777777" w:rsidR="00F71050" w:rsidRPr="000B6B22" w:rsidRDefault="00F71050">
            <w:pPr>
              <w:spacing w:before="0"/>
              <w:ind w:left="28"/>
              <w:rPr>
                <w:rFonts w:ascii="Times New Roman" w:eastAsia="SimSun" w:hAnsi="Times New Roman"/>
                <w:b/>
                <w:sz w:val="24"/>
              </w:rPr>
            </w:pPr>
            <w:r>
              <w:rPr>
                <w:rFonts w:ascii="Times New Roman" w:hAnsi="Times New Roman"/>
                <w:b/>
                <w:sz w:val="24"/>
              </w:rPr>
              <w:t>Νομικά κείμενα αναφοράς και οδηγίες</w:t>
            </w:r>
          </w:p>
        </w:tc>
      </w:tr>
      <w:tr w:rsidR="00B47B7D" w:rsidRPr="000B6B22" w14:paraId="38EE2F9A" w14:textId="77777777" w:rsidTr="0039321F">
        <w:tc>
          <w:tcPr>
            <w:tcW w:w="1135" w:type="dxa"/>
            <w:shd w:val="clear" w:color="auto" w:fill="auto"/>
            <w:vAlign w:val="center"/>
          </w:tcPr>
          <w:p w14:paraId="4B0D41A6" w14:textId="7181AFF2" w:rsidR="00F71050" w:rsidRPr="000B6B22" w:rsidRDefault="00F71050" w:rsidP="009D4EFF">
            <w:pPr>
              <w:spacing w:before="0"/>
              <w:rPr>
                <w:rFonts w:ascii="Times New Roman" w:eastAsia="PMingLiU" w:hAnsi="Times New Roman"/>
                <w:sz w:val="24"/>
              </w:rPr>
            </w:pPr>
            <w:r>
              <w:rPr>
                <w:rFonts w:ascii="Times New Roman" w:hAnsi="Times New Roman"/>
                <w:sz w:val="24"/>
              </w:rPr>
              <w:t>0010</w:t>
            </w:r>
          </w:p>
        </w:tc>
        <w:tc>
          <w:tcPr>
            <w:tcW w:w="7087" w:type="dxa"/>
            <w:shd w:val="clear" w:color="auto" w:fill="auto"/>
          </w:tcPr>
          <w:p w14:paraId="569C4E60" w14:textId="77777777" w:rsidR="00F71050" w:rsidRPr="000B6B22" w:rsidRDefault="00F71050" w:rsidP="009D4EFF">
            <w:pPr>
              <w:spacing w:before="0"/>
              <w:ind w:left="-89"/>
              <w:rPr>
                <w:rFonts w:ascii="Times New Roman" w:eastAsia="PMingLiU" w:hAnsi="Times New Roman"/>
                <w:b/>
                <w:bCs/>
                <w:sz w:val="24"/>
              </w:rPr>
            </w:pPr>
            <w:r>
              <w:rPr>
                <w:rFonts w:ascii="Times New Roman" w:hAnsi="Times New Roman"/>
                <w:b/>
                <w:sz w:val="24"/>
              </w:rPr>
              <w:t>Αγοραία αξία εξασφάλισης που παρέχεται ως δάνειο</w:t>
            </w:r>
          </w:p>
          <w:p w14:paraId="1A57E4B8" w14:textId="72F5ED7F" w:rsidR="00F71050" w:rsidRPr="000B6B22" w:rsidRDefault="00F71050" w:rsidP="009D4EFF">
            <w:pPr>
              <w:spacing w:before="0"/>
              <w:ind w:left="-89"/>
              <w:rPr>
                <w:rFonts w:ascii="Times New Roman" w:eastAsia="PMingLiU" w:hAnsi="Times New Roman"/>
                <w:bCs/>
                <w:sz w:val="24"/>
              </w:rPr>
            </w:pPr>
            <w:r>
              <w:rPr>
                <w:rFonts w:ascii="Times New Roman" w:hAnsi="Times New Roman"/>
                <w:sz w:val="24"/>
              </w:rPr>
              <w:t>Η αγοραία αξία των εξασφαλίσεων που παρέχονται ως δάνειο αναφέρεται στη στήλη 0010. Η αγοραία αξία αντικατοπτρίζει την τρέχουσα αγοραία αξία ακαθάριστη από περικοπές και καθαρή από ροές που προκύπτουν από την εκκαθάριση των σχετικών αντισταθμίσεων, σύμφωνα με το άρθρο 8 παράγραφος 5 του κατ’ εξουσιοδότηση κανονισμού (ΕΕ) 2015/61.</w:t>
            </w:r>
          </w:p>
        </w:tc>
      </w:tr>
      <w:tr w:rsidR="00B47B7D" w:rsidRPr="000B6B22" w14:paraId="4015661F" w14:textId="77777777" w:rsidTr="0039321F">
        <w:tc>
          <w:tcPr>
            <w:tcW w:w="1135" w:type="dxa"/>
            <w:vAlign w:val="center"/>
          </w:tcPr>
          <w:p w14:paraId="24A4E8BC" w14:textId="6A951B1C" w:rsidR="00F71050" w:rsidRPr="000B6B22" w:rsidRDefault="00F71050" w:rsidP="009D4EFF">
            <w:pPr>
              <w:spacing w:before="0"/>
              <w:rPr>
                <w:rFonts w:ascii="Times New Roman" w:eastAsia="PMingLiU" w:hAnsi="Times New Roman"/>
                <w:sz w:val="24"/>
              </w:rPr>
            </w:pPr>
            <w:r>
              <w:rPr>
                <w:rFonts w:ascii="Times New Roman" w:hAnsi="Times New Roman"/>
                <w:sz w:val="24"/>
              </w:rPr>
              <w:t>0020</w:t>
            </w:r>
          </w:p>
        </w:tc>
        <w:tc>
          <w:tcPr>
            <w:tcW w:w="7087" w:type="dxa"/>
            <w:shd w:val="clear" w:color="auto" w:fill="auto"/>
          </w:tcPr>
          <w:p w14:paraId="65813A34"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Αξία ρευστοποίησης εξασφάλισης που παρέχεται ως δάνειο</w:t>
            </w:r>
          </w:p>
          <w:p w14:paraId="744CC458" w14:textId="5A2878F1" w:rsidR="00F71050" w:rsidRPr="000B6B22" w:rsidRDefault="00F71050" w:rsidP="009D4EFF">
            <w:pPr>
              <w:spacing w:before="0"/>
              <w:ind w:left="-89"/>
              <w:rPr>
                <w:rFonts w:ascii="Times New Roman" w:eastAsia="PMingLiU" w:hAnsi="Times New Roman"/>
                <w:b/>
                <w:sz w:val="24"/>
              </w:rPr>
            </w:pPr>
            <w:r>
              <w:rPr>
                <w:rFonts w:ascii="Times New Roman" w:hAnsi="Times New Roman"/>
                <w:sz w:val="24"/>
              </w:rPr>
              <w:t>Η αξία ρευστοποίησης των εξασφαλίσεων που παρέχονται ως δάνειο αναφέρεται στη στήλη 0020. Για ρευστά στοιχεία ενεργητικού, η αξία ρευστοποίησης αντικατοπτρίζει την αξία του περιουσιακού στοιχείου χωρίς περικοπή.</w:t>
            </w:r>
          </w:p>
        </w:tc>
      </w:tr>
      <w:tr w:rsidR="00B47B7D" w:rsidRPr="000B6B22" w14:paraId="09A5A4AE" w14:textId="77777777" w:rsidTr="0039321F">
        <w:tc>
          <w:tcPr>
            <w:tcW w:w="1135" w:type="dxa"/>
            <w:vAlign w:val="center"/>
          </w:tcPr>
          <w:p w14:paraId="0FFB7A5F" w14:textId="7811EA03" w:rsidR="00F71050" w:rsidRPr="000B6B22" w:rsidRDefault="00F71050" w:rsidP="009D4EFF">
            <w:pPr>
              <w:spacing w:before="0"/>
              <w:rPr>
                <w:rFonts w:ascii="Times New Roman" w:eastAsia="PMingLiU" w:hAnsi="Times New Roman"/>
                <w:sz w:val="24"/>
              </w:rPr>
            </w:pPr>
            <w:r>
              <w:rPr>
                <w:rFonts w:ascii="Times New Roman" w:hAnsi="Times New Roman"/>
                <w:sz w:val="24"/>
              </w:rPr>
              <w:t>0030</w:t>
            </w:r>
          </w:p>
        </w:tc>
        <w:tc>
          <w:tcPr>
            <w:tcW w:w="7087" w:type="dxa"/>
          </w:tcPr>
          <w:p w14:paraId="3D925073" w14:textId="77777777" w:rsidR="00F71050" w:rsidRPr="000B6B22" w:rsidRDefault="00F71050" w:rsidP="009D4EFF">
            <w:pPr>
              <w:spacing w:before="0"/>
              <w:ind w:left="-89"/>
              <w:rPr>
                <w:rFonts w:ascii="Times New Roman" w:eastAsia="PMingLiU" w:hAnsi="Times New Roman"/>
                <w:b/>
                <w:bCs/>
                <w:sz w:val="24"/>
              </w:rPr>
            </w:pPr>
            <w:r>
              <w:rPr>
                <w:rFonts w:ascii="Times New Roman" w:hAnsi="Times New Roman"/>
                <w:b/>
                <w:sz w:val="24"/>
              </w:rPr>
              <w:t>Αγοραία αξία εξασφάλισης που λαμβάνεται ως δάνειο</w:t>
            </w:r>
          </w:p>
          <w:p w14:paraId="783AFA6A" w14:textId="5DB4989B" w:rsidR="00F71050" w:rsidRPr="000B6B22" w:rsidRDefault="00F71050" w:rsidP="009D4EFF">
            <w:pPr>
              <w:autoSpaceDE w:val="0"/>
              <w:autoSpaceDN w:val="0"/>
              <w:adjustRightInd w:val="0"/>
              <w:spacing w:before="0"/>
              <w:ind w:left="-89"/>
              <w:rPr>
                <w:rFonts w:ascii="Times New Roman" w:eastAsia="PMingLiU" w:hAnsi="Times New Roman"/>
                <w:sz w:val="24"/>
              </w:rPr>
            </w:pPr>
            <w:r>
              <w:rPr>
                <w:rFonts w:ascii="Times New Roman" w:hAnsi="Times New Roman"/>
                <w:sz w:val="24"/>
              </w:rPr>
              <w:t>Η αγοραία αξία των εξασφαλίσεων που λαμβάνονται ως δάνειο αναφέρεται στη στήλη 0030. Η αγοραία αξία αντικατοπτρίζει την τρέχουσα αγοραία αξία ακαθάριστη από περικοπές και καθαρή από ροές που προκύπτουν από την εκκαθάριση των σχετικών αντισταθμίσεων, σύμφωνα με το άρθρο 8 παράγραφος 5 του κατ’ εξουσιοδότηση κανονισμού (ΕΕ) 2015/61.</w:t>
            </w:r>
          </w:p>
        </w:tc>
      </w:tr>
      <w:tr w:rsidR="00B47B7D" w:rsidRPr="000B6B22" w14:paraId="26EA5899" w14:textId="77777777" w:rsidTr="0039321F">
        <w:tc>
          <w:tcPr>
            <w:tcW w:w="1135" w:type="dxa"/>
            <w:vAlign w:val="center"/>
          </w:tcPr>
          <w:p w14:paraId="32AB578A" w14:textId="69BBDB1A" w:rsidR="00F71050" w:rsidRPr="000B6B22" w:rsidRDefault="00F71050" w:rsidP="009D4EFF">
            <w:pPr>
              <w:spacing w:before="0"/>
              <w:rPr>
                <w:rFonts w:ascii="Times New Roman" w:eastAsia="PMingLiU" w:hAnsi="Times New Roman"/>
                <w:sz w:val="24"/>
              </w:rPr>
            </w:pPr>
            <w:r>
              <w:rPr>
                <w:rFonts w:ascii="Times New Roman" w:hAnsi="Times New Roman"/>
                <w:sz w:val="24"/>
              </w:rPr>
              <w:t>0040</w:t>
            </w:r>
          </w:p>
        </w:tc>
        <w:tc>
          <w:tcPr>
            <w:tcW w:w="7087" w:type="dxa"/>
          </w:tcPr>
          <w:p w14:paraId="724A290A"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Αξία ρευστοποίησης εξασφάλισης που λαμβάνεται ως δάνειο</w:t>
            </w:r>
          </w:p>
          <w:p w14:paraId="221551A8" w14:textId="5B3C330D"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 xml:space="preserve">Η αξία ρευστοποίησης των εξασφαλίσεων που λαμβάνονται ως δάνειο αναφέρεται στη στήλη 0040. Για ρευστά στοιχεία ενεργητικού, η αξία ρευστοποίησης αντικατοπτρίζει την αξία του περιουσιακού στοιχείου χωρίς περικοπή. </w:t>
            </w:r>
          </w:p>
        </w:tc>
      </w:tr>
      <w:tr w:rsidR="00B47B7D" w:rsidRPr="000B6B22" w14:paraId="00ABDC83" w14:textId="77777777" w:rsidTr="0039321F">
        <w:tc>
          <w:tcPr>
            <w:tcW w:w="1135" w:type="dxa"/>
            <w:vAlign w:val="center"/>
          </w:tcPr>
          <w:p w14:paraId="0755B2C3" w14:textId="3ABCBE5D" w:rsidR="00F71050" w:rsidRPr="000B6B22" w:rsidRDefault="00F71050" w:rsidP="009D4EFF">
            <w:pPr>
              <w:spacing w:before="0"/>
              <w:rPr>
                <w:rFonts w:ascii="Times New Roman" w:eastAsia="PMingLiU" w:hAnsi="Times New Roman"/>
                <w:sz w:val="24"/>
              </w:rPr>
            </w:pPr>
            <w:r>
              <w:rPr>
                <w:rFonts w:ascii="Times New Roman" w:hAnsi="Times New Roman"/>
                <w:sz w:val="24"/>
              </w:rPr>
              <w:t>0050</w:t>
            </w:r>
          </w:p>
        </w:tc>
        <w:tc>
          <w:tcPr>
            <w:tcW w:w="7087" w:type="dxa"/>
          </w:tcPr>
          <w:p w14:paraId="7DB799C2"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Πάγιος συντελεστής στάθμισης</w:t>
            </w:r>
          </w:p>
          <w:p w14:paraId="0792AD27" w14:textId="744F5117"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Άρθρα 28 και 32 του κατ’ εξουσιοδότηση κανονισμού (ΕΕ) 2015/61</w:t>
            </w:r>
          </w:p>
          <w:p w14:paraId="21096672" w14:textId="09FF5ABF" w:rsidR="00F71050" w:rsidRPr="000B6B22" w:rsidRDefault="00F71050" w:rsidP="009D4EFF">
            <w:pPr>
              <w:spacing w:before="0"/>
              <w:ind w:left="-89"/>
              <w:rPr>
                <w:rFonts w:ascii="Times New Roman" w:eastAsia="PMingLiU" w:hAnsi="Times New Roman"/>
                <w:b/>
                <w:sz w:val="24"/>
              </w:rPr>
            </w:pPr>
            <w:r>
              <w:rPr>
                <w:rFonts w:ascii="Times New Roman" w:hAnsi="Times New Roman"/>
                <w:sz w:val="24"/>
              </w:rPr>
              <w:t>Οι πάγιοι συντελεστές στάθμισης στη στήλη 0050 είναι εκείνοι που καθορίζονται στον κατ’ εξουσιοδότηση κανονισμό (ΕΕ) 2015/61 εξ ορισμού και παρέχονται μόνο για ενημερωτικούς λόγους.</w:t>
            </w:r>
          </w:p>
        </w:tc>
      </w:tr>
      <w:tr w:rsidR="00B47B7D" w:rsidRPr="000B6B22" w14:paraId="3F443956" w14:textId="77777777" w:rsidTr="0039321F">
        <w:tc>
          <w:tcPr>
            <w:tcW w:w="1135" w:type="dxa"/>
            <w:vAlign w:val="center"/>
          </w:tcPr>
          <w:p w14:paraId="5C3750CD" w14:textId="26104018" w:rsidR="00F71050" w:rsidRPr="000B6B22" w:rsidRDefault="00F71050" w:rsidP="009D4EFF">
            <w:pPr>
              <w:spacing w:before="0"/>
              <w:rPr>
                <w:rFonts w:ascii="Times New Roman" w:eastAsia="PMingLiU" w:hAnsi="Times New Roman"/>
                <w:sz w:val="24"/>
              </w:rPr>
            </w:pPr>
            <w:r>
              <w:rPr>
                <w:rFonts w:ascii="Times New Roman" w:hAnsi="Times New Roman"/>
                <w:sz w:val="24"/>
              </w:rPr>
              <w:t>0060</w:t>
            </w:r>
          </w:p>
        </w:tc>
        <w:tc>
          <w:tcPr>
            <w:tcW w:w="7087" w:type="dxa"/>
          </w:tcPr>
          <w:p w14:paraId="51239FB1"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Εφαρμοστέος συντελεστής στάθμισης</w:t>
            </w:r>
          </w:p>
          <w:p w14:paraId="5EB218B9" w14:textId="21E6D6F1"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Άρθρα 28 και 32 του κατ’ εξουσιοδότηση κανονισμού (ΕΕ) 2015/61</w:t>
            </w:r>
          </w:p>
          <w:p w14:paraId="716B5FB9" w14:textId="1EFC1317"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 xml:space="preserve">Οι εφαρμοστέοι συντελεστές στάθμισης είναι εκείνοι που καθορίζονται στα άρθρα 28 και 32 του κατ’ εξουσιοδότηση κανονισμού (ΕΕ) 2015/61. </w:t>
            </w:r>
            <w:r>
              <w:rPr>
                <w:rFonts w:ascii="Times New Roman" w:hAnsi="Times New Roman"/>
                <w:sz w:val="24"/>
              </w:rPr>
              <w:lastRenderedPageBreak/>
              <w:t>Οι εφαρμοστέοι συντελεστές στάθμισης μπορεί να οδηγήσουν σε σταθμισμένες μέσες τιμές και αναφέρονται σε δεκαδικά (δηλαδή 1,00 για εφαρμοστέο συντελεστή 100 τοις εκατό ή 0,50 για εφαρμοστέο συντελεστή 50 τοις εκατό). Οι εφαρμοστέοι συντελεστές στάθμισης μπορεί να αντικατοπτρίζουν ειδική διακριτική ευχέρεια εταιρειών ή κρατών μελών, αλλά δεν περιορίζονται σε αυτή</w:t>
            </w:r>
          </w:p>
        </w:tc>
      </w:tr>
      <w:tr w:rsidR="00B47B7D" w:rsidRPr="000B6B22" w14:paraId="4BCE01B2" w14:textId="77777777" w:rsidTr="0039321F">
        <w:tc>
          <w:tcPr>
            <w:tcW w:w="1135" w:type="dxa"/>
            <w:vAlign w:val="center"/>
          </w:tcPr>
          <w:p w14:paraId="37587F45" w14:textId="58778E97"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0070</w:t>
            </w:r>
          </w:p>
        </w:tc>
        <w:tc>
          <w:tcPr>
            <w:tcW w:w="7087" w:type="dxa"/>
          </w:tcPr>
          <w:p w14:paraId="59174A8A"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Εκροές</w:t>
            </w:r>
          </w:p>
          <w:p w14:paraId="6D936D1E" w14:textId="6634DB72"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Τα πιστωτικά ιδρύματα αναφέρουν εδώ τις εκροές. Αυτές υπολογίζονται με πολλαπλασιασμό της στήλης 0060 επί τη στήλη 0030, αμφότερες από το υπόδειγμα C 75.01 του παραρτήματος XXIV.</w:t>
            </w:r>
          </w:p>
        </w:tc>
      </w:tr>
      <w:tr w:rsidR="00B47B7D" w:rsidRPr="000B6B22" w14:paraId="02CE149B" w14:textId="77777777" w:rsidTr="0039321F">
        <w:tc>
          <w:tcPr>
            <w:tcW w:w="1135" w:type="dxa"/>
            <w:vAlign w:val="center"/>
          </w:tcPr>
          <w:p w14:paraId="3923F5C9" w14:textId="44CA0F24" w:rsidR="00F71050" w:rsidRPr="000B6B22" w:rsidRDefault="00F71050" w:rsidP="009D4EFF">
            <w:pPr>
              <w:spacing w:before="0"/>
              <w:rPr>
                <w:rFonts w:ascii="Times New Roman" w:eastAsia="PMingLiU" w:hAnsi="Times New Roman"/>
                <w:sz w:val="24"/>
              </w:rPr>
            </w:pPr>
            <w:r>
              <w:rPr>
                <w:rFonts w:ascii="Times New Roman" w:hAnsi="Times New Roman"/>
                <w:sz w:val="24"/>
              </w:rPr>
              <w:t>0080</w:t>
            </w:r>
          </w:p>
        </w:tc>
        <w:tc>
          <w:tcPr>
            <w:tcW w:w="7087" w:type="dxa"/>
          </w:tcPr>
          <w:p w14:paraId="3398FDFB"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Εισροές υποκείμενες σε ανώτατο όριο 75 % στις εισροές</w:t>
            </w:r>
          </w:p>
          <w:p w14:paraId="5117380C" w14:textId="743615B9"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Τα πιστωτικά ιδρύματα αναφέρουν εδώ τις εισροές των συναλλαγών που υπόκεινται στο ανώτατο όριο του 75 % για τις εισροές. Οι εισροές υπολογίζονται πολλαπλασιάζοντας τη στήλη 0060 επί τη στήλη 0010, αμφότερες από το υπόδειγμα C 75.01 του παραρτήματος XXIV.</w:t>
            </w:r>
          </w:p>
        </w:tc>
      </w:tr>
      <w:tr w:rsidR="00B47B7D" w:rsidRPr="000B6B22" w14:paraId="4448DFAE" w14:textId="77777777" w:rsidTr="0039321F">
        <w:tc>
          <w:tcPr>
            <w:tcW w:w="1135" w:type="dxa"/>
            <w:vAlign w:val="center"/>
          </w:tcPr>
          <w:p w14:paraId="36F93588" w14:textId="0546AE47" w:rsidR="00F71050" w:rsidRPr="000B6B22" w:rsidRDefault="00F71050" w:rsidP="009D4EFF">
            <w:pPr>
              <w:spacing w:before="0"/>
              <w:rPr>
                <w:rFonts w:ascii="Times New Roman" w:eastAsia="PMingLiU" w:hAnsi="Times New Roman"/>
                <w:sz w:val="24"/>
              </w:rPr>
            </w:pPr>
            <w:r>
              <w:rPr>
                <w:rFonts w:ascii="Times New Roman" w:hAnsi="Times New Roman"/>
                <w:sz w:val="24"/>
              </w:rPr>
              <w:t>0090</w:t>
            </w:r>
          </w:p>
        </w:tc>
        <w:tc>
          <w:tcPr>
            <w:tcW w:w="7087" w:type="dxa"/>
          </w:tcPr>
          <w:p w14:paraId="1187773B"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Εισροές υποκείμενες σε ανώτατο όριο 90 % στις εισροές</w:t>
            </w:r>
          </w:p>
          <w:p w14:paraId="34F55EF6" w14:textId="59EC4A13"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Τα πιστωτικά ιδρύματα αναφέρουν εδώ τις εισροές των συναλλαγών που υπόκεινται στο ανώτατο όριο του 90 % για τις εισροές. Οι εισροές υπολογίζονται πολλαπλασιάζοντας τη στήλη 0060 επί τη στήλη 0010, αμφότερες από το υπόδειγμα C 75.01 του παραρτήματος XXIV.</w:t>
            </w:r>
          </w:p>
        </w:tc>
      </w:tr>
      <w:tr w:rsidR="00F71050" w:rsidRPr="000B6B22" w14:paraId="10E17786" w14:textId="77777777" w:rsidTr="0039321F">
        <w:trPr>
          <w:trHeight w:val="50"/>
        </w:trPr>
        <w:tc>
          <w:tcPr>
            <w:tcW w:w="1135" w:type="dxa"/>
            <w:vAlign w:val="center"/>
          </w:tcPr>
          <w:p w14:paraId="3AB9E7A9" w14:textId="1FEFC876" w:rsidR="00F71050" w:rsidRPr="000B6B22" w:rsidRDefault="00F71050" w:rsidP="009D4EFF">
            <w:pPr>
              <w:spacing w:before="0"/>
              <w:rPr>
                <w:rFonts w:ascii="Times New Roman" w:eastAsia="PMingLiU" w:hAnsi="Times New Roman"/>
                <w:sz w:val="24"/>
              </w:rPr>
            </w:pPr>
            <w:r>
              <w:rPr>
                <w:rFonts w:ascii="Times New Roman" w:hAnsi="Times New Roman"/>
                <w:sz w:val="24"/>
              </w:rPr>
              <w:t>0100</w:t>
            </w:r>
          </w:p>
        </w:tc>
        <w:tc>
          <w:tcPr>
            <w:tcW w:w="7087" w:type="dxa"/>
          </w:tcPr>
          <w:p w14:paraId="08F902E2"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Εισροές εξαιρούμενες από το ανώτατο όριο στις εισροές</w:t>
            </w:r>
          </w:p>
          <w:p w14:paraId="3B784AFC" w14:textId="088AC206"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Τα πιστωτικά ιδρύματα αναφέρουν εδώ τις εισροές των συναλλαγών που εξαιρούνται από το ανώτατο όριο για τις εισροές. Οι εισροές υπολογίζονται πολλαπλασιάζοντας τη στήλη 0060 επί τη στήλη 0010, αμφότερες από το υπόδειγμα C 75.01 του παραρτήματος XXIV.</w:t>
            </w:r>
          </w:p>
        </w:tc>
      </w:tr>
    </w:tbl>
    <w:p w14:paraId="0B54F72D" w14:textId="77777777" w:rsidR="00F71050" w:rsidRPr="000B6B22" w:rsidRDefault="00F71050">
      <w:pPr>
        <w:spacing w:before="0"/>
        <w:rPr>
          <w:rFonts w:ascii="Times New Roman" w:eastAsia="PMingLiU" w:hAnsi="Times New Roman"/>
          <w:sz w:val="24"/>
        </w:rPr>
      </w:pPr>
    </w:p>
    <w:p w14:paraId="559B1DD6" w14:textId="2B5EC0A8" w:rsidR="00F71050" w:rsidRPr="000B6B22" w:rsidRDefault="0062009E">
      <w:pPr>
        <w:keepNext/>
        <w:spacing w:before="0"/>
        <w:outlineLvl w:val="1"/>
        <w:rPr>
          <w:rFonts w:ascii="Times New Roman" w:eastAsia="PMingLiU" w:hAnsi="Times New Roman"/>
          <w:sz w:val="24"/>
        </w:rPr>
      </w:pPr>
      <w:r>
        <w:rPr>
          <w:rFonts w:ascii="Times New Roman" w:hAnsi="Times New Roman"/>
          <w:sz w:val="24"/>
        </w:rPr>
        <w:t>1.3.2</w:t>
      </w:r>
      <w:r>
        <w:tab/>
      </w:r>
      <w:r>
        <w:rPr>
          <w:rFonts w:ascii="Times New Roman" w:hAnsi="Times New Roman"/>
          <w:sz w:val="24"/>
        </w:rPr>
        <w:t>Οδηγίες για συγκεκριμένες γραμμές</w:t>
      </w:r>
    </w:p>
    <w:tbl>
      <w:tblPr>
        <w:tblW w:w="807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
        <w:gridCol w:w="7371"/>
      </w:tblGrid>
      <w:tr w:rsidR="00B47B7D" w:rsidRPr="000B6B22" w14:paraId="7F844B2A" w14:textId="77777777" w:rsidTr="0039321F">
        <w:tc>
          <w:tcPr>
            <w:tcW w:w="703" w:type="dxa"/>
            <w:shd w:val="clear" w:color="auto" w:fill="E6E6E6"/>
          </w:tcPr>
          <w:p w14:paraId="3AD48631" w14:textId="77777777" w:rsidR="00F71050" w:rsidRPr="000B6B22" w:rsidRDefault="00F71050">
            <w:pPr>
              <w:spacing w:before="0"/>
              <w:ind w:left="28"/>
              <w:rPr>
                <w:rFonts w:ascii="Times New Roman" w:eastAsia="PMingLiU" w:hAnsi="Times New Roman"/>
                <w:b/>
                <w:bCs/>
                <w:sz w:val="24"/>
              </w:rPr>
            </w:pPr>
            <w:r>
              <w:rPr>
                <w:rFonts w:ascii="Times New Roman" w:hAnsi="Times New Roman"/>
                <w:b/>
                <w:sz w:val="24"/>
              </w:rPr>
              <w:t>Γραμμή</w:t>
            </w:r>
          </w:p>
        </w:tc>
        <w:tc>
          <w:tcPr>
            <w:tcW w:w="7371" w:type="dxa"/>
            <w:shd w:val="clear" w:color="auto" w:fill="E6E6E6"/>
          </w:tcPr>
          <w:p w14:paraId="062CCB6A" w14:textId="77777777" w:rsidR="00F71050" w:rsidRPr="000B6B22" w:rsidRDefault="00F71050">
            <w:pPr>
              <w:spacing w:before="0"/>
              <w:ind w:left="28"/>
              <w:rPr>
                <w:rFonts w:ascii="Times New Roman" w:eastAsia="SimSun" w:hAnsi="Times New Roman"/>
                <w:b/>
                <w:sz w:val="24"/>
              </w:rPr>
            </w:pPr>
            <w:r>
              <w:rPr>
                <w:rFonts w:ascii="Times New Roman" w:hAnsi="Times New Roman"/>
                <w:b/>
                <w:sz w:val="24"/>
              </w:rPr>
              <w:t>Νομικά κείμενα αναφοράς και οδηγίες</w:t>
            </w:r>
          </w:p>
        </w:tc>
      </w:tr>
      <w:tr w:rsidR="00B47B7D" w:rsidRPr="000B6B22" w14:paraId="5B1FFF8C" w14:textId="77777777" w:rsidTr="0039321F">
        <w:tc>
          <w:tcPr>
            <w:tcW w:w="703" w:type="dxa"/>
            <w:shd w:val="clear" w:color="auto" w:fill="auto"/>
            <w:vAlign w:val="center"/>
          </w:tcPr>
          <w:p w14:paraId="11448A2A" w14:textId="240263F5" w:rsidR="00F71050" w:rsidRPr="000B6B22" w:rsidRDefault="00F71050" w:rsidP="009D4EFF">
            <w:pPr>
              <w:spacing w:before="0"/>
              <w:rPr>
                <w:rFonts w:ascii="Times New Roman" w:eastAsia="PMingLiU" w:hAnsi="Times New Roman"/>
                <w:sz w:val="24"/>
              </w:rPr>
            </w:pPr>
            <w:r>
              <w:rPr>
                <w:rFonts w:ascii="Times New Roman" w:hAnsi="Times New Roman"/>
                <w:sz w:val="24"/>
              </w:rPr>
              <w:t>0010</w:t>
            </w:r>
          </w:p>
        </w:tc>
        <w:tc>
          <w:tcPr>
            <w:tcW w:w="7371" w:type="dxa"/>
            <w:shd w:val="clear" w:color="auto" w:fill="auto"/>
          </w:tcPr>
          <w:p w14:paraId="0D75232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 ΣΥΝΟΛΟ ΠΡΑΞΕΩΝ ΑΝΤΑΛΛΑΓΗΣ ΕΞΑΣΦΑΛΙΣΕΩΝ (ο αντισυμβαλλόμενος είναι κεντρική τράπεζα)</w:t>
            </w:r>
          </w:p>
          <w:p w14:paraId="410748FC" w14:textId="47752230"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Άρθρο 28 παράγραφος 4 και άρθρο 32 παράγραφος 3 του κατ’ εξουσιοδότηση κανονισμού (ΕΕ) 2015/61</w:t>
            </w:r>
          </w:p>
          <w:p w14:paraId="5F65B00E" w14:textId="5A9F472E" w:rsidR="00F71050" w:rsidRPr="000B6B22" w:rsidRDefault="00FB499E" w:rsidP="009D4EFF">
            <w:pPr>
              <w:spacing w:before="0"/>
              <w:ind w:left="-84"/>
              <w:rPr>
                <w:rFonts w:ascii="Times New Roman" w:eastAsia="PMingLiU" w:hAnsi="Times New Roman"/>
                <w:bCs/>
                <w:sz w:val="24"/>
              </w:rPr>
            </w:pPr>
            <w:r>
              <w:rPr>
                <w:rFonts w:ascii="Times New Roman" w:hAnsi="Times New Roman"/>
                <w:sz w:val="24"/>
              </w:rPr>
              <w:t>Τα πιστωτικά ιδρύματα αναφέρουν εδώ, για τις σχετικές στήλες, τις συνολικές αξίες των πράξεων ανταλλαγής εξασφαλίσεων.</w:t>
            </w:r>
          </w:p>
        </w:tc>
      </w:tr>
      <w:tr w:rsidR="00B47B7D" w:rsidRPr="000B6B22" w14:paraId="1E19CDD8" w14:textId="77777777" w:rsidTr="0039321F">
        <w:tc>
          <w:tcPr>
            <w:tcW w:w="703" w:type="dxa"/>
            <w:vAlign w:val="center"/>
          </w:tcPr>
          <w:p w14:paraId="759B7E5D" w14:textId="0AC16A7A" w:rsidR="00F71050" w:rsidRPr="000B6B22" w:rsidRDefault="00F71050" w:rsidP="009D4EFF">
            <w:pPr>
              <w:spacing w:before="0"/>
              <w:rPr>
                <w:rFonts w:ascii="Times New Roman" w:eastAsia="PMingLiU" w:hAnsi="Times New Roman"/>
                <w:sz w:val="24"/>
              </w:rPr>
            </w:pPr>
            <w:r>
              <w:rPr>
                <w:rFonts w:ascii="Times New Roman" w:hAnsi="Times New Roman"/>
                <w:sz w:val="24"/>
              </w:rPr>
              <w:t>0020</w:t>
            </w:r>
          </w:p>
        </w:tc>
        <w:tc>
          <w:tcPr>
            <w:tcW w:w="7371" w:type="dxa"/>
            <w:shd w:val="clear" w:color="auto" w:fill="auto"/>
          </w:tcPr>
          <w:p w14:paraId="694BB43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1.1. Σύνολα για συναλλαγές κατά τις οποίες τα στοιχεία ενεργητικού επιπέδου 1 (εξαιρουμένων των ΕΥΠ καλυμμένων ομολόγων) παρέχονται ως δάνειο και οι ακόλουθες εξασφαλίσεις λαμβάνονται ως δάνειο:</w:t>
            </w:r>
          </w:p>
          <w:p w14:paraId="184C7FC3" w14:textId="73AD5431"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Άρθρο 28 παράγραφος 4 και άρθρο 32 παράγραφος 3 του κατ’ εξουσιοδότηση κανονισμού (ΕΕ) 2015/61</w:t>
            </w:r>
          </w:p>
          <w:p w14:paraId="67B4CC98" w14:textId="1AA4CDBD"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 xml:space="preserve">Τα πιστωτικά ιδρύματα αναφέρουν εδώ, για κάθε σχετική στήλη, τις συνολικές αξίες των πράξεων ανταλλαγής εξασφαλίσεων για συναλλαγές </w:t>
            </w:r>
            <w:r>
              <w:rPr>
                <w:rFonts w:ascii="Times New Roman" w:hAnsi="Times New Roman"/>
                <w:sz w:val="24"/>
              </w:rPr>
              <w:lastRenderedPageBreak/>
              <w:t>κατά τις οποίες στοιχεία ενεργητικού επιπέδου 1 (εξαιρουμένων των ΕΥΠ καλυμμένων ομολόγων) παρέχονται ως δάνειο.</w:t>
            </w:r>
          </w:p>
        </w:tc>
      </w:tr>
      <w:tr w:rsidR="00B47B7D" w:rsidRPr="000B6B22" w14:paraId="4AB38B02" w14:textId="77777777" w:rsidTr="0039321F">
        <w:tc>
          <w:tcPr>
            <w:tcW w:w="703" w:type="dxa"/>
            <w:vAlign w:val="center"/>
          </w:tcPr>
          <w:p w14:paraId="5EFA9D27" w14:textId="391E6DD6"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0030</w:t>
            </w:r>
          </w:p>
        </w:tc>
        <w:tc>
          <w:tcPr>
            <w:tcW w:w="7371" w:type="dxa"/>
          </w:tcPr>
          <w:p w14:paraId="4F6BB82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1.1.1. Στοιχεία ενεργητικού επιπέδου 1 (εξαιρουμένων των ΕΥΠ καλυμμένων ομολόγων)</w:t>
            </w:r>
          </w:p>
          <w:p w14:paraId="6C852399" w14:textId="196D3575"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στοιχεία ενεργητικού επιπέδου 1, εξαιρουμένων των ΕΥΠ καλυμμένων ομολόγων (που παρέχονται ως δάνειο), με στοιχεία ενεργητικού επιπέδου 1, εξαιρουμένων των ΕΥΠ καλυμμένων ομολόγων (που λαμβάνονται ως δάνειο).</w:t>
            </w:r>
          </w:p>
        </w:tc>
      </w:tr>
      <w:tr w:rsidR="00B47B7D" w:rsidRPr="000B6B22" w14:paraId="02F0DEA5" w14:textId="77777777" w:rsidTr="0039321F">
        <w:tc>
          <w:tcPr>
            <w:tcW w:w="703" w:type="dxa"/>
            <w:vAlign w:val="center"/>
          </w:tcPr>
          <w:p w14:paraId="64E8B141" w14:textId="5F688853" w:rsidR="00F71050" w:rsidRPr="000B6B22" w:rsidRDefault="00F71050" w:rsidP="009D4EFF">
            <w:pPr>
              <w:spacing w:before="0"/>
              <w:rPr>
                <w:rFonts w:ascii="Times New Roman" w:eastAsia="PMingLiU" w:hAnsi="Times New Roman"/>
                <w:sz w:val="24"/>
              </w:rPr>
            </w:pPr>
            <w:r>
              <w:rPr>
                <w:rFonts w:ascii="Times New Roman" w:hAnsi="Times New Roman"/>
                <w:sz w:val="24"/>
              </w:rPr>
              <w:t>0040</w:t>
            </w:r>
          </w:p>
        </w:tc>
        <w:tc>
          <w:tcPr>
            <w:tcW w:w="7371" w:type="dxa"/>
          </w:tcPr>
          <w:p w14:paraId="4DE4E92C" w14:textId="77777777" w:rsidR="00F71050" w:rsidRPr="000B6B22" w:rsidRDefault="00F71050" w:rsidP="009D4EFF">
            <w:pPr>
              <w:numPr>
                <w:ilvl w:val="3"/>
                <w:numId w:val="42"/>
              </w:numPr>
              <w:spacing w:before="0"/>
              <w:ind w:left="-84"/>
              <w:rPr>
                <w:rFonts w:ascii="Times New Roman" w:eastAsia="PMingLiU" w:hAnsi="Times New Roman"/>
                <w:b/>
                <w:bCs/>
                <w:sz w:val="24"/>
              </w:rPr>
            </w:pPr>
            <w:r>
              <w:rPr>
                <w:rFonts w:ascii="Times New Roman" w:hAnsi="Times New Roman"/>
                <w:b/>
                <w:sz w:val="24"/>
              </w:rPr>
              <w:t>Των οποίων οι εξασφαλίσεις που ανταλλάσσονται πληρούν τις λειτουργικές απαιτήσεις</w:t>
            </w:r>
          </w:p>
          <w:p w14:paraId="39840EA4" w14:textId="0DA8981B"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1.1.1. τα πιστωτικά ιδρύματα αναφέρουν:</w:t>
            </w:r>
          </w:p>
          <w:p w14:paraId="1A327DA6" w14:textId="6D3D3FC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παρέχεται ως δάνειο το οποίο,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27124514" w14:textId="17E00C0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40007BB4" w14:textId="77777777" w:rsidTr="0039321F">
        <w:tc>
          <w:tcPr>
            <w:tcW w:w="703" w:type="dxa"/>
            <w:vAlign w:val="center"/>
          </w:tcPr>
          <w:p w14:paraId="6D9A1344" w14:textId="4842D356" w:rsidR="00F71050" w:rsidRPr="000B6B22" w:rsidRDefault="00F71050" w:rsidP="009D4EFF">
            <w:pPr>
              <w:spacing w:before="0"/>
              <w:rPr>
                <w:rFonts w:ascii="Times New Roman" w:eastAsia="PMingLiU" w:hAnsi="Times New Roman"/>
                <w:sz w:val="24"/>
              </w:rPr>
            </w:pPr>
            <w:r>
              <w:rPr>
                <w:rFonts w:ascii="Times New Roman" w:hAnsi="Times New Roman"/>
                <w:sz w:val="24"/>
              </w:rPr>
              <w:t>0050</w:t>
            </w:r>
          </w:p>
        </w:tc>
        <w:tc>
          <w:tcPr>
            <w:tcW w:w="7371" w:type="dxa"/>
          </w:tcPr>
          <w:p w14:paraId="4AE201CE"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1.1.2. εξαιρετικά υψηλής ποιότητας καλυμμένα ομόλογα επιπέδου 1</w:t>
            </w:r>
          </w:p>
          <w:p w14:paraId="6343EDA3" w14:textId="093AB95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στοιχεία ενεργητικού επιπέδου 1, εξαιρουμένων των ΕΥΠ καλυμμένων ομολόγων (που παρέχονται ως δάνειο), με στοιχεία ενεργητικού επιπέδου 1: εξαιρετικά υψηλής ποιότητας καλυμμένα ομόλογα (που λαμβάνονται ως δάνειο).</w:t>
            </w:r>
          </w:p>
        </w:tc>
      </w:tr>
      <w:tr w:rsidR="00B47B7D" w:rsidRPr="000B6B22" w14:paraId="34244D14" w14:textId="77777777" w:rsidTr="0039321F">
        <w:tc>
          <w:tcPr>
            <w:tcW w:w="703" w:type="dxa"/>
            <w:vAlign w:val="center"/>
          </w:tcPr>
          <w:p w14:paraId="6D967B09" w14:textId="46B25565" w:rsidR="00F71050" w:rsidRPr="000B6B22" w:rsidRDefault="00F71050" w:rsidP="009D4EFF">
            <w:pPr>
              <w:spacing w:before="0"/>
              <w:rPr>
                <w:rFonts w:ascii="Times New Roman" w:eastAsia="PMingLiU" w:hAnsi="Times New Roman"/>
                <w:sz w:val="24"/>
              </w:rPr>
            </w:pPr>
            <w:r>
              <w:rPr>
                <w:rFonts w:ascii="Times New Roman" w:hAnsi="Times New Roman"/>
                <w:sz w:val="24"/>
              </w:rPr>
              <w:t>0060</w:t>
            </w:r>
          </w:p>
        </w:tc>
        <w:tc>
          <w:tcPr>
            <w:tcW w:w="7371" w:type="dxa"/>
          </w:tcPr>
          <w:p w14:paraId="40FAEF8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1.1.2.1. Των οποίων οι εξασφαλίσεις που ανταλλάσσονται πληρούν τις λειτουργικές απαιτήσεις</w:t>
            </w:r>
          </w:p>
          <w:p w14:paraId="6DE48B07" w14:textId="6ABE6FDB"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1.1.2. τα πιστωτικά ιδρύματα αναφέρουν:</w:t>
            </w:r>
          </w:p>
          <w:p w14:paraId="38B522D4" w14:textId="6D7658D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παρέχεται ως δάνειο το οποίο,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153F3015" w14:textId="2CE62DE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2DF5EE5E" w14:textId="77777777" w:rsidTr="0039321F">
        <w:tc>
          <w:tcPr>
            <w:tcW w:w="703" w:type="dxa"/>
            <w:vAlign w:val="center"/>
          </w:tcPr>
          <w:p w14:paraId="6FADBBA0" w14:textId="4282E4A6" w:rsidR="00F71050" w:rsidRPr="000B6B22" w:rsidRDefault="00F71050" w:rsidP="009D4EFF">
            <w:pPr>
              <w:spacing w:before="0"/>
              <w:rPr>
                <w:rFonts w:ascii="Times New Roman" w:eastAsia="PMingLiU" w:hAnsi="Times New Roman"/>
                <w:sz w:val="24"/>
              </w:rPr>
            </w:pPr>
            <w:r>
              <w:rPr>
                <w:rFonts w:ascii="Times New Roman" w:hAnsi="Times New Roman"/>
                <w:sz w:val="24"/>
              </w:rPr>
              <w:t>0070</w:t>
            </w:r>
          </w:p>
        </w:tc>
        <w:tc>
          <w:tcPr>
            <w:tcW w:w="7371" w:type="dxa"/>
          </w:tcPr>
          <w:p w14:paraId="7703CE46"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1.1.3. Στοιχεία ενεργητικού επιπέδου 2Α</w:t>
            </w:r>
          </w:p>
          <w:p w14:paraId="2DB904B2" w14:textId="4C54998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στοιχεία ενεργητικού επιπέδου 1, εξαιρουμένων των ΕΥΠ καλυμμένων ομολόγων (που παρέχονται ως δάνειο) με στοιχεία ενεργητικού επιπέδου 2Α (που λαμβάνονται ως δάνειο).</w:t>
            </w:r>
          </w:p>
        </w:tc>
      </w:tr>
      <w:tr w:rsidR="00B47B7D" w:rsidRPr="000B6B22" w14:paraId="586C099F" w14:textId="77777777" w:rsidTr="0039321F">
        <w:tc>
          <w:tcPr>
            <w:tcW w:w="703" w:type="dxa"/>
            <w:vAlign w:val="center"/>
          </w:tcPr>
          <w:p w14:paraId="4EC64D7C" w14:textId="328A8FCB"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0080</w:t>
            </w:r>
          </w:p>
        </w:tc>
        <w:tc>
          <w:tcPr>
            <w:tcW w:w="7371" w:type="dxa"/>
          </w:tcPr>
          <w:p w14:paraId="289776E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1.1.3.1. Των οποίων οι εξασφαλίσεις που ανταλλάσσονται πληρούν τις λειτουργικές απαιτήσεις</w:t>
            </w:r>
          </w:p>
          <w:p w14:paraId="14C76F3D" w14:textId="4DB18E0F"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1.1.3. τα πιστωτικά ιδρύματα αναφέρουν:</w:t>
            </w:r>
          </w:p>
          <w:p w14:paraId="1244B5D3" w14:textId="53198B4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παρέχεται ως δάνειο το οποίο,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5829D8B9" w14:textId="6491E4A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420B997C" w14:textId="77777777" w:rsidTr="0039321F">
        <w:tc>
          <w:tcPr>
            <w:tcW w:w="703" w:type="dxa"/>
            <w:vAlign w:val="center"/>
          </w:tcPr>
          <w:p w14:paraId="43B9FF7D" w14:textId="08BB3046" w:rsidR="00F71050" w:rsidRPr="000B6B22" w:rsidRDefault="00F71050" w:rsidP="009D4EFF">
            <w:pPr>
              <w:spacing w:before="0"/>
              <w:rPr>
                <w:rFonts w:ascii="Times New Roman" w:eastAsia="PMingLiU" w:hAnsi="Times New Roman"/>
                <w:sz w:val="24"/>
              </w:rPr>
            </w:pPr>
            <w:r>
              <w:rPr>
                <w:rFonts w:ascii="Times New Roman" w:hAnsi="Times New Roman"/>
                <w:sz w:val="24"/>
              </w:rPr>
              <w:t>0090</w:t>
            </w:r>
          </w:p>
        </w:tc>
        <w:tc>
          <w:tcPr>
            <w:tcW w:w="7371" w:type="dxa"/>
          </w:tcPr>
          <w:p w14:paraId="6524DEFB" w14:textId="4BFE6929"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1.1.4. Επιπέδου 2Β τίτλοι από τιτλοποίηση (στεγαστικά δάνεια ή δάνεια για αγορά αυτοκινήτου, ΒΠΠ1)</w:t>
            </w:r>
          </w:p>
          <w:p w14:paraId="401007E4" w14:textId="7A15191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στοιχεία ενεργητικού επιπέδου 1, εξαιρουμένων των ΕΥΠ καλυμμένων ομολόγων (που παρέχονται ως δάνειο), με τίτλους από τιτλοποίηση επιπέδου 2Β (στεγαστικά δάνεια ή δάνεια αγοράς αυτοκινήτου, ΒΠΠ1) (που λαμβάνονται ως δάνειο).</w:t>
            </w:r>
          </w:p>
        </w:tc>
      </w:tr>
      <w:tr w:rsidR="00B47B7D" w:rsidRPr="000B6B22" w14:paraId="0694D486" w14:textId="77777777" w:rsidTr="0039321F">
        <w:tc>
          <w:tcPr>
            <w:tcW w:w="703" w:type="dxa"/>
            <w:vAlign w:val="center"/>
          </w:tcPr>
          <w:p w14:paraId="520BF3DA" w14:textId="10379286" w:rsidR="00F71050" w:rsidRPr="000B6B22" w:rsidRDefault="00F71050" w:rsidP="009D4EFF">
            <w:pPr>
              <w:spacing w:before="0"/>
              <w:rPr>
                <w:rFonts w:ascii="Times New Roman" w:eastAsia="PMingLiU" w:hAnsi="Times New Roman"/>
                <w:sz w:val="24"/>
              </w:rPr>
            </w:pPr>
            <w:r>
              <w:rPr>
                <w:rFonts w:ascii="Times New Roman" w:hAnsi="Times New Roman"/>
                <w:sz w:val="24"/>
              </w:rPr>
              <w:t>0100</w:t>
            </w:r>
          </w:p>
        </w:tc>
        <w:tc>
          <w:tcPr>
            <w:tcW w:w="7371" w:type="dxa"/>
          </w:tcPr>
          <w:p w14:paraId="2F96C8D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1.1.4.1. Των οποίων οι εξασφαλίσεις που ανταλλάσσονται πληρούν τις λειτουργικές απαιτήσεις</w:t>
            </w:r>
          </w:p>
          <w:p w14:paraId="69C09BA4" w14:textId="6032C1CE"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1.1.4. τα πιστωτικά ιδρύματα αναφέρουν:</w:t>
            </w:r>
          </w:p>
          <w:p w14:paraId="6724542D" w14:textId="231EBCC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παρέχεται ως δάνειο το οποίο,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2423A59A" w14:textId="1670875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51B244CA" w14:textId="77777777" w:rsidTr="0039321F">
        <w:tc>
          <w:tcPr>
            <w:tcW w:w="703" w:type="dxa"/>
            <w:vAlign w:val="center"/>
          </w:tcPr>
          <w:p w14:paraId="16A9C869" w14:textId="3EFCCEC9" w:rsidR="00F71050" w:rsidRPr="000B6B22" w:rsidRDefault="00F71050" w:rsidP="009D4EFF">
            <w:pPr>
              <w:spacing w:before="0"/>
              <w:rPr>
                <w:rFonts w:ascii="Times New Roman" w:eastAsia="PMingLiU" w:hAnsi="Times New Roman"/>
                <w:sz w:val="24"/>
              </w:rPr>
            </w:pPr>
            <w:r>
              <w:rPr>
                <w:rFonts w:ascii="Times New Roman" w:hAnsi="Times New Roman"/>
                <w:sz w:val="24"/>
              </w:rPr>
              <w:t>0110</w:t>
            </w:r>
          </w:p>
        </w:tc>
        <w:tc>
          <w:tcPr>
            <w:tcW w:w="7371" w:type="dxa"/>
          </w:tcPr>
          <w:p w14:paraId="0A7A32A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1.1.5. Επιπέδου 2Β υψηλής ποιότητας καλυμμένα ομόλογα</w:t>
            </w:r>
          </w:p>
          <w:p w14:paraId="7FAE02E7" w14:textId="7604AB0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στοιχεία ενεργητικού επιπέδου 1, εξαιρουμένων των ΕΥΠ καλυμμένων ομολόγων (που παρέχονται ως δάνειο), με υψηλής ποιότητας καλυμμένα ομόλογα επιπέδου 2Β (που λαμβάνονται ως δάνειο).</w:t>
            </w:r>
          </w:p>
        </w:tc>
      </w:tr>
      <w:tr w:rsidR="00B47B7D" w:rsidRPr="000B6B22" w14:paraId="56BF7B54" w14:textId="77777777" w:rsidTr="0039321F">
        <w:trPr>
          <w:trHeight w:val="50"/>
        </w:trPr>
        <w:tc>
          <w:tcPr>
            <w:tcW w:w="703" w:type="dxa"/>
            <w:vAlign w:val="center"/>
          </w:tcPr>
          <w:p w14:paraId="3F05D060" w14:textId="0395C007" w:rsidR="00F71050" w:rsidRPr="000B6B22" w:rsidRDefault="00F71050" w:rsidP="009D4EFF">
            <w:pPr>
              <w:spacing w:before="0"/>
              <w:rPr>
                <w:rFonts w:ascii="Times New Roman" w:eastAsia="PMingLiU" w:hAnsi="Times New Roman"/>
                <w:sz w:val="24"/>
              </w:rPr>
            </w:pPr>
            <w:r>
              <w:rPr>
                <w:rFonts w:ascii="Times New Roman" w:hAnsi="Times New Roman"/>
                <w:sz w:val="24"/>
              </w:rPr>
              <w:t>0120</w:t>
            </w:r>
          </w:p>
        </w:tc>
        <w:tc>
          <w:tcPr>
            <w:tcW w:w="7371" w:type="dxa"/>
          </w:tcPr>
          <w:p w14:paraId="5D17C84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1.1.5.1. Των οποίων οι εξασφαλίσεις που ανταλλάσσονται πληρούν τις λειτουργικές απαιτήσεις</w:t>
            </w:r>
          </w:p>
          <w:p w14:paraId="64F5FC02" w14:textId="3404A812"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1.1.5. τα πιστωτικά ιδρύματα αναφέρουν:</w:t>
            </w:r>
          </w:p>
          <w:p w14:paraId="47742E12" w14:textId="1CD915C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παρέχεται ως δάνειο το οποίο,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403545B1" w14:textId="2C21517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0B2C69C5" w14:textId="77777777" w:rsidTr="0039321F">
        <w:trPr>
          <w:trHeight w:val="50"/>
        </w:trPr>
        <w:tc>
          <w:tcPr>
            <w:tcW w:w="703" w:type="dxa"/>
            <w:vAlign w:val="center"/>
          </w:tcPr>
          <w:p w14:paraId="0AEB322A" w14:textId="22F47934"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0130</w:t>
            </w:r>
          </w:p>
        </w:tc>
        <w:tc>
          <w:tcPr>
            <w:tcW w:w="7371" w:type="dxa"/>
          </w:tcPr>
          <w:p w14:paraId="49852CE1" w14:textId="153FA8F0"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1.1.6. Επιπέδου 2Β τίτλοι από τιτλοποίηση (εμπορικά δάνεια ή δάνεια σε ιδιώτες, κράτος μέλος, ΒΠΠ1)</w:t>
            </w:r>
          </w:p>
          <w:p w14:paraId="4479AE9C" w14:textId="3CA2837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στοιχεία ενεργητικού επιπέδου 1, εξαιρουμένων των ΕΥΠ καλυμμένων ομολόγων (που παρέχονται ως δάνειο), με στοιχεία επιπέδου 2Β: τίτλους από τιτλοποίηση (εμπορικά δάνεια ή δάνεια σε ιδιώτες, κράτος μέλος, ΒΠΠ1) (που λαμβάνονται ως δάνειο).</w:t>
            </w:r>
          </w:p>
        </w:tc>
      </w:tr>
      <w:tr w:rsidR="00B47B7D" w:rsidRPr="000B6B22" w14:paraId="02112BD1" w14:textId="77777777" w:rsidTr="0039321F">
        <w:tc>
          <w:tcPr>
            <w:tcW w:w="703" w:type="dxa"/>
            <w:vAlign w:val="center"/>
          </w:tcPr>
          <w:p w14:paraId="41E26EE7" w14:textId="17DA7D42" w:rsidR="00F71050" w:rsidRPr="000B6B22" w:rsidRDefault="00F71050" w:rsidP="009D4EFF">
            <w:pPr>
              <w:spacing w:before="0"/>
              <w:rPr>
                <w:rFonts w:ascii="Times New Roman" w:eastAsia="PMingLiU" w:hAnsi="Times New Roman"/>
                <w:sz w:val="24"/>
              </w:rPr>
            </w:pPr>
            <w:r>
              <w:rPr>
                <w:rFonts w:ascii="Times New Roman" w:hAnsi="Times New Roman"/>
                <w:sz w:val="24"/>
              </w:rPr>
              <w:t>0140</w:t>
            </w:r>
          </w:p>
        </w:tc>
        <w:tc>
          <w:tcPr>
            <w:tcW w:w="7371" w:type="dxa"/>
          </w:tcPr>
          <w:p w14:paraId="26C5609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1.1.6.1. Των οποίων οι εξασφαλίσεις που ανταλλάσσονται πληρούν τις λειτουργικές απαιτήσεις</w:t>
            </w:r>
          </w:p>
          <w:p w14:paraId="2036CCC8" w14:textId="4199D527"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1.1.6. τα πιστωτικά ιδρύματα αναφέρουν:</w:t>
            </w:r>
          </w:p>
          <w:p w14:paraId="429173F7" w14:textId="4593151B" w:rsidR="00F71050" w:rsidRPr="00CA314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παρέχεται ως δάνειο το οποίο,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53DDE118" w14:textId="369D81C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69E683BC" w14:textId="77777777" w:rsidTr="0039321F">
        <w:tc>
          <w:tcPr>
            <w:tcW w:w="703" w:type="dxa"/>
            <w:vAlign w:val="center"/>
          </w:tcPr>
          <w:p w14:paraId="67CA9916" w14:textId="34041DC0" w:rsidR="00F71050" w:rsidRPr="000B6B22" w:rsidRDefault="00F71050" w:rsidP="009D4EFF">
            <w:pPr>
              <w:spacing w:before="0"/>
              <w:rPr>
                <w:rFonts w:ascii="Times New Roman" w:eastAsia="PMingLiU" w:hAnsi="Times New Roman"/>
                <w:sz w:val="24"/>
              </w:rPr>
            </w:pPr>
            <w:r>
              <w:rPr>
                <w:rFonts w:ascii="Times New Roman" w:hAnsi="Times New Roman"/>
                <w:sz w:val="24"/>
              </w:rPr>
              <w:t>0150</w:t>
            </w:r>
          </w:p>
        </w:tc>
        <w:tc>
          <w:tcPr>
            <w:tcW w:w="7371" w:type="dxa"/>
          </w:tcPr>
          <w:p w14:paraId="0FA04E43" w14:textId="5388886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1.1.7. Άλλα στοιχεία ενεργητικού επιπέδου 2Β</w:t>
            </w:r>
          </w:p>
          <w:p w14:paraId="22DBEB81" w14:textId="64E42FA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στοιχεία ενεργητικού επιπέδου 1, εξαιρουμένων των ΕΥΠ καλυμμένων ομολόγων (που παρέχονται ως δάνειο), με άλλα στοιχεία επιπέδου 2Β (που λαμβάνονται ως δάνειο)</w:t>
            </w:r>
          </w:p>
        </w:tc>
      </w:tr>
      <w:tr w:rsidR="00B47B7D" w:rsidRPr="000B6B22" w14:paraId="042E71E4" w14:textId="77777777" w:rsidTr="0039321F">
        <w:tc>
          <w:tcPr>
            <w:tcW w:w="703" w:type="dxa"/>
            <w:vAlign w:val="center"/>
          </w:tcPr>
          <w:p w14:paraId="4B58B543" w14:textId="1CF62140" w:rsidR="00F71050" w:rsidRPr="000B6B22" w:rsidRDefault="00F71050" w:rsidP="009D4EFF">
            <w:pPr>
              <w:spacing w:before="0"/>
              <w:rPr>
                <w:rFonts w:ascii="Times New Roman" w:eastAsia="PMingLiU" w:hAnsi="Times New Roman"/>
                <w:sz w:val="24"/>
              </w:rPr>
            </w:pPr>
            <w:r>
              <w:rPr>
                <w:rFonts w:ascii="Times New Roman" w:hAnsi="Times New Roman"/>
                <w:sz w:val="24"/>
              </w:rPr>
              <w:t>0160</w:t>
            </w:r>
          </w:p>
        </w:tc>
        <w:tc>
          <w:tcPr>
            <w:tcW w:w="7371" w:type="dxa"/>
          </w:tcPr>
          <w:p w14:paraId="252EAFB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1.1.7.1. Των οποίων οι εξασφαλίσεις που ανταλλάσσονται πληρούν τις λειτουργικές απαιτήσεις</w:t>
            </w:r>
          </w:p>
          <w:p w14:paraId="57818693" w14:textId="77777777"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1.1.7., τα πιστωτικά ιδρύματα αναφέρουν</w:t>
            </w:r>
          </w:p>
          <w:p w14:paraId="73354A47" w14:textId="14FD564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παρέχεται ως δάνειο το οποίο,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18620A36" w14:textId="2105573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5FA73979" w14:textId="77777777" w:rsidTr="0039321F">
        <w:tc>
          <w:tcPr>
            <w:tcW w:w="703" w:type="dxa"/>
            <w:vAlign w:val="center"/>
          </w:tcPr>
          <w:p w14:paraId="04D3FB1E" w14:textId="29664734" w:rsidR="00F71050" w:rsidRPr="000B6B22" w:rsidRDefault="00F71050" w:rsidP="009D4EFF">
            <w:pPr>
              <w:spacing w:before="0"/>
              <w:rPr>
                <w:rFonts w:ascii="Times New Roman" w:eastAsia="PMingLiU" w:hAnsi="Times New Roman"/>
                <w:sz w:val="24"/>
              </w:rPr>
            </w:pPr>
            <w:r>
              <w:rPr>
                <w:rFonts w:ascii="Times New Roman" w:hAnsi="Times New Roman"/>
                <w:sz w:val="24"/>
              </w:rPr>
              <w:t>0170</w:t>
            </w:r>
          </w:p>
        </w:tc>
        <w:tc>
          <w:tcPr>
            <w:tcW w:w="7371" w:type="dxa"/>
          </w:tcPr>
          <w:p w14:paraId="535565B8"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1.1.8. Μη ρευστά στοιχεία ενεργητικού</w:t>
            </w:r>
          </w:p>
          <w:p w14:paraId="2C554E3D" w14:textId="7A95446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στοιχεία ενεργητικού επιπέδου 1, εξαιρουμένων των ΕΥΠ καλυμμένων ομολόγων (που παρέχονται ως δάνειο), με μη ρευστά στοιχεία ενεργητικού (που λαμβάνονται ως δάνειο).</w:t>
            </w:r>
          </w:p>
        </w:tc>
      </w:tr>
      <w:tr w:rsidR="00B47B7D" w:rsidRPr="000B6B22" w14:paraId="68B88591" w14:textId="77777777" w:rsidTr="0039321F">
        <w:tc>
          <w:tcPr>
            <w:tcW w:w="703" w:type="dxa"/>
            <w:shd w:val="clear" w:color="auto" w:fill="auto"/>
            <w:vAlign w:val="center"/>
          </w:tcPr>
          <w:p w14:paraId="2D54C374" w14:textId="53C65D26" w:rsidR="00F71050" w:rsidRPr="000B6B22" w:rsidRDefault="00F71050">
            <w:pPr>
              <w:spacing w:before="0"/>
              <w:rPr>
                <w:rFonts w:ascii="Times New Roman" w:eastAsia="PMingLiU" w:hAnsi="Times New Roman"/>
                <w:sz w:val="24"/>
              </w:rPr>
            </w:pPr>
            <w:r>
              <w:rPr>
                <w:rFonts w:ascii="Times New Roman" w:hAnsi="Times New Roman"/>
                <w:sz w:val="24"/>
              </w:rPr>
              <w:lastRenderedPageBreak/>
              <w:t>0180</w:t>
            </w:r>
          </w:p>
        </w:tc>
        <w:tc>
          <w:tcPr>
            <w:tcW w:w="7371" w:type="dxa"/>
            <w:shd w:val="clear" w:color="auto" w:fill="auto"/>
          </w:tcPr>
          <w:p w14:paraId="27DB139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1.1.8.1. Των οποίων οι εξασφαλίσεις που ανταλλάσσονται πληρούν τις λειτουργικές απαιτήσεις</w:t>
            </w:r>
          </w:p>
          <w:p w14:paraId="478C3420" w14:textId="4B6E8B05"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Από τις συναλλαγές που αναφέρονται στο σημείο 1.1.8., τα πιστωτικά ιδρύματα αναφέρουν το σκέλος της εξασφάλισης που παρέχεται ως δάνειο το οποίο,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w:t>
            </w:r>
          </w:p>
        </w:tc>
      </w:tr>
      <w:tr w:rsidR="00B47B7D" w:rsidRPr="000B6B22" w14:paraId="3E95F2C7" w14:textId="77777777" w:rsidTr="0039321F">
        <w:tc>
          <w:tcPr>
            <w:tcW w:w="703" w:type="dxa"/>
            <w:shd w:val="clear" w:color="auto" w:fill="auto"/>
            <w:vAlign w:val="center"/>
          </w:tcPr>
          <w:p w14:paraId="09E8F2A2" w14:textId="7BF04AAD" w:rsidR="00F71050" w:rsidRPr="000B6B22" w:rsidRDefault="00F71050">
            <w:pPr>
              <w:spacing w:before="0"/>
              <w:rPr>
                <w:rFonts w:ascii="Times New Roman" w:eastAsia="PMingLiU" w:hAnsi="Times New Roman"/>
                <w:sz w:val="24"/>
              </w:rPr>
            </w:pPr>
            <w:r>
              <w:rPr>
                <w:rFonts w:ascii="Times New Roman" w:hAnsi="Times New Roman"/>
                <w:sz w:val="24"/>
              </w:rPr>
              <w:t>0190</w:t>
            </w:r>
          </w:p>
        </w:tc>
        <w:tc>
          <w:tcPr>
            <w:tcW w:w="7371" w:type="dxa"/>
            <w:shd w:val="clear" w:color="auto" w:fill="auto"/>
          </w:tcPr>
          <w:p w14:paraId="48B0D3FE"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1.2. Σύνολα για συναλλαγές κατά τις οποίες: τα εξαιρετικά υψηλής ποιότητας καλυμμένα ομόλογα επιπέδου 1 παρέχονται ως δάνειο και οι ακόλουθες εξασφαλίσεις λαμβάνονται ως δάνειο:</w:t>
            </w:r>
          </w:p>
          <w:p w14:paraId="4643050A" w14:textId="01D198B4"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Άρθρο 28 παράγραφος 4 και άρθρο 32 παράγραφος 3 του κατ’ εξουσιοδότηση κανονισμού (ΕΕ) 2015/61</w:t>
            </w:r>
          </w:p>
          <w:p w14:paraId="6ED00D2A" w14:textId="6F4F65AA"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Τα πιστωτικά ιδρύματα αναφέρουν εδώ, για τις σχετικές στήλες, τις συνολικές αξίες των πράξεων ανταλλαγής εξασφαλίσεων για συναλλαγές κατά τις οποίες εξαιρετικά υψηλής ποιότητας καλυμμένα ομόλογα επιπέδου 1 παρέχονται ως δάνειο.</w:t>
            </w:r>
          </w:p>
        </w:tc>
      </w:tr>
      <w:tr w:rsidR="00B47B7D" w:rsidRPr="000B6B22" w14:paraId="4013E7B2" w14:textId="77777777" w:rsidTr="0039321F">
        <w:tc>
          <w:tcPr>
            <w:tcW w:w="703" w:type="dxa"/>
            <w:vAlign w:val="center"/>
          </w:tcPr>
          <w:p w14:paraId="198F9323" w14:textId="4C6DC0D0" w:rsidR="00F71050" w:rsidRPr="000B6B22" w:rsidRDefault="00F71050">
            <w:pPr>
              <w:spacing w:before="0"/>
              <w:rPr>
                <w:rFonts w:ascii="Times New Roman" w:eastAsia="PMingLiU" w:hAnsi="Times New Roman"/>
                <w:sz w:val="24"/>
              </w:rPr>
            </w:pPr>
            <w:r>
              <w:rPr>
                <w:rFonts w:ascii="Times New Roman" w:hAnsi="Times New Roman"/>
                <w:sz w:val="24"/>
              </w:rPr>
              <w:t>0200</w:t>
            </w:r>
          </w:p>
        </w:tc>
        <w:tc>
          <w:tcPr>
            <w:tcW w:w="7371" w:type="dxa"/>
          </w:tcPr>
          <w:p w14:paraId="340C6D3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1.2.1. Στοιχεία ενεργητικού επιπέδου 1 (εξαιρουμένων των ΕΥΠ καλυμμένων ομολόγων)</w:t>
            </w:r>
          </w:p>
          <w:p w14:paraId="555F3227" w14:textId="53FC203F"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επιπέδου 1 εξαιρετικά υψηλής ποιότητας καλυμμένα ομόλογα (που παρέχονται ως δάνειο) με στοιχεία ενεργητικού επιπέδου 1 εξαιρουμένων των ΕΥΠ καλυμμένων ομολόγων (που λαμβάνονται ως δάνειο).</w:t>
            </w:r>
          </w:p>
        </w:tc>
      </w:tr>
      <w:tr w:rsidR="00B47B7D" w:rsidRPr="000B6B22" w14:paraId="62AB64B5" w14:textId="77777777" w:rsidTr="0039321F">
        <w:tc>
          <w:tcPr>
            <w:tcW w:w="703" w:type="dxa"/>
            <w:vAlign w:val="center"/>
          </w:tcPr>
          <w:p w14:paraId="56AC7639" w14:textId="298AD00B" w:rsidR="00F71050" w:rsidRPr="000B6B22" w:rsidRDefault="00F71050">
            <w:pPr>
              <w:spacing w:before="0"/>
              <w:rPr>
                <w:rFonts w:ascii="Times New Roman" w:eastAsia="PMingLiU" w:hAnsi="Times New Roman"/>
                <w:sz w:val="24"/>
              </w:rPr>
            </w:pPr>
            <w:r>
              <w:rPr>
                <w:rFonts w:ascii="Times New Roman" w:hAnsi="Times New Roman"/>
                <w:sz w:val="24"/>
              </w:rPr>
              <w:t>0210</w:t>
            </w:r>
          </w:p>
        </w:tc>
        <w:tc>
          <w:tcPr>
            <w:tcW w:w="7371" w:type="dxa"/>
          </w:tcPr>
          <w:p w14:paraId="31404B6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1.2.1.1. Των οποίων οι εξασφαλίσεις που ανταλλάσσονται πληρούν τις λειτουργικές απαιτήσεις</w:t>
            </w:r>
          </w:p>
          <w:p w14:paraId="2952F7E5" w14:textId="17ED3249"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1.2.1. τα πιστωτικά ιδρύματα αναφέρουν:</w:t>
            </w:r>
          </w:p>
          <w:p w14:paraId="76343C89" w14:textId="1F24179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παρέχεται ως δάνειο το οποίο,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7241D593" w14:textId="0A6DE38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38446A42" w14:textId="77777777" w:rsidTr="0039321F">
        <w:tc>
          <w:tcPr>
            <w:tcW w:w="703" w:type="dxa"/>
            <w:vAlign w:val="center"/>
          </w:tcPr>
          <w:p w14:paraId="64435AC7" w14:textId="4D5BFFBA" w:rsidR="00F71050" w:rsidRPr="000B6B22" w:rsidRDefault="00F71050">
            <w:pPr>
              <w:spacing w:before="0"/>
              <w:rPr>
                <w:rFonts w:ascii="Times New Roman" w:eastAsia="PMingLiU" w:hAnsi="Times New Roman"/>
                <w:sz w:val="24"/>
              </w:rPr>
            </w:pPr>
            <w:r>
              <w:rPr>
                <w:rFonts w:ascii="Times New Roman" w:hAnsi="Times New Roman"/>
                <w:sz w:val="24"/>
              </w:rPr>
              <w:t>0220</w:t>
            </w:r>
          </w:p>
        </w:tc>
        <w:tc>
          <w:tcPr>
            <w:tcW w:w="7371" w:type="dxa"/>
          </w:tcPr>
          <w:p w14:paraId="06FE7B22"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1.2.2. Επιπέδου 1 εξαιρετικά υψηλής ποιότητας καλυμμένα ομόλογα</w:t>
            </w:r>
          </w:p>
          <w:p w14:paraId="5D12E0BC" w14:textId="14CB756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επιπέδου 1 εξαιρετικά υψηλής ποιότητας καλυμμένα ομόλογα (που παρέχονται ως δάνειο) με επιπέδου 1 εξαιρετικά υψηλής ποιότητας καλυμμένα ομόλογα (που λαμβάνονται ως δάνειο).</w:t>
            </w:r>
          </w:p>
        </w:tc>
      </w:tr>
      <w:tr w:rsidR="00B47B7D" w:rsidRPr="000B6B22" w14:paraId="73748788" w14:textId="77777777" w:rsidTr="0039321F">
        <w:tc>
          <w:tcPr>
            <w:tcW w:w="703" w:type="dxa"/>
            <w:vAlign w:val="center"/>
          </w:tcPr>
          <w:p w14:paraId="33AD3746" w14:textId="5D6E5238" w:rsidR="00F71050" w:rsidRPr="000B6B22" w:rsidRDefault="000F16AB">
            <w:pPr>
              <w:spacing w:before="0"/>
              <w:rPr>
                <w:rFonts w:ascii="Times New Roman" w:eastAsia="PMingLiU" w:hAnsi="Times New Roman"/>
                <w:sz w:val="24"/>
              </w:rPr>
            </w:pPr>
            <w:r>
              <w:rPr>
                <w:rFonts w:ascii="Times New Roman" w:hAnsi="Times New Roman"/>
                <w:sz w:val="24"/>
              </w:rPr>
              <w:t>0230</w:t>
            </w:r>
          </w:p>
        </w:tc>
        <w:tc>
          <w:tcPr>
            <w:tcW w:w="7371" w:type="dxa"/>
          </w:tcPr>
          <w:p w14:paraId="172E555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1.2.2.1. Των οποίων οι εξασφαλίσεις που ανταλλάσσονται πληρούν τις λειτουργικές απαιτήσεις</w:t>
            </w:r>
          </w:p>
          <w:p w14:paraId="0C729744" w14:textId="5C640DC4"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1.2.2. τα πιστωτικά ιδρύματα αναφέρουν:</w:t>
            </w:r>
          </w:p>
          <w:p w14:paraId="5FEF820C" w14:textId="05710321" w:rsidR="00F71050" w:rsidRPr="00FB499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το σκέλος της εξασφάλισης που παρέχεται ως δάνειο το οποίο, αν δεν χρησιμοποιούνταν ως εξασφάλιση των εν λόγω συναλλαγών, θα μπορούσε </w:t>
            </w:r>
            <w:r>
              <w:rPr>
                <w:rFonts w:ascii="Times New Roman" w:hAnsi="Times New Roman"/>
                <w:sz w:val="24"/>
              </w:rPr>
              <w:lastRenderedPageBreak/>
              <w:t>να θεωρηθεί, σύμφωνα με το άρθρο 8 του κατ’ εξουσιοδότηση κανονισμού (ΕΕ) 2015/61, ως ρευστό στοιχείο ενεργητικού· και</w:t>
            </w:r>
          </w:p>
          <w:p w14:paraId="4122E9EA" w14:textId="5B91C42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50B6FE4F" w14:textId="77777777" w:rsidTr="0039321F">
        <w:tc>
          <w:tcPr>
            <w:tcW w:w="703" w:type="dxa"/>
            <w:vAlign w:val="center"/>
          </w:tcPr>
          <w:p w14:paraId="58804EDC" w14:textId="6C550B67" w:rsidR="00F71050" w:rsidRPr="000B6B22" w:rsidRDefault="000F16AB">
            <w:pPr>
              <w:spacing w:before="0"/>
              <w:rPr>
                <w:rFonts w:ascii="Times New Roman" w:eastAsia="PMingLiU" w:hAnsi="Times New Roman"/>
                <w:sz w:val="24"/>
              </w:rPr>
            </w:pPr>
            <w:r>
              <w:rPr>
                <w:rFonts w:ascii="Times New Roman" w:hAnsi="Times New Roman"/>
                <w:sz w:val="24"/>
              </w:rPr>
              <w:lastRenderedPageBreak/>
              <w:t>0240</w:t>
            </w:r>
          </w:p>
        </w:tc>
        <w:tc>
          <w:tcPr>
            <w:tcW w:w="7371" w:type="dxa"/>
          </w:tcPr>
          <w:p w14:paraId="4D5E41D6"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1.2.3. Στοιχεία ενεργητικού επιπέδου 2Α</w:t>
            </w:r>
          </w:p>
          <w:p w14:paraId="4D8A60F9" w14:textId="2182FC0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επιπέδου 1 εξαιρετικά υψηλής ποιότητας καλυμμένα ομόλογα (που παρέχονται ως δάνειο) με στοιχεία ενεργητικού επιπέδου 2Α (που λαμβάνονται ως δάνειο).</w:t>
            </w:r>
          </w:p>
        </w:tc>
      </w:tr>
      <w:tr w:rsidR="00B47B7D" w:rsidRPr="000B6B22" w14:paraId="27850707" w14:textId="77777777" w:rsidTr="0039321F">
        <w:tc>
          <w:tcPr>
            <w:tcW w:w="703" w:type="dxa"/>
            <w:vAlign w:val="center"/>
          </w:tcPr>
          <w:p w14:paraId="1746EBFA" w14:textId="15A35F30" w:rsidR="00F71050" w:rsidRPr="000B6B22" w:rsidRDefault="000F16AB">
            <w:pPr>
              <w:spacing w:before="0"/>
              <w:rPr>
                <w:rFonts w:ascii="Times New Roman" w:eastAsia="PMingLiU" w:hAnsi="Times New Roman"/>
                <w:sz w:val="24"/>
              </w:rPr>
            </w:pPr>
            <w:r>
              <w:rPr>
                <w:rFonts w:ascii="Times New Roman" w:hAnsi="Times New Roman"/>
                <w:sz w:val="24"/>
              </w:rPr>
              <w:t>0250</w:t>
            </w:r>
          </w:p>
        </w:tc>
        <w:tc>
          <w:tcPr>
            <w:tcW w:w="7371" w:type="dxa"/>
          </w:tcPr>
          <w:p w14:paraId="16D7900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1.2.3.1. Των οποίων οι εξασφαλίσεις που ανταλλάσσονται πληρούν τις λειτουργικές απαιτήσεις</w:t>
            </w:r>
          </w:p>
          <w:p w14:paraId="0E1E7C56" w14:textId="390C26D0"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1.2.3. τα πιστωτικά ιδρύματα αναφέρουν:</w:t>
            </w:r>
          </w:p>
          <w:p w14:paraId="4294B0F4" w14:textId="26FF579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παρέχεται ως δάνειο το οποίο,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727FAFB7" w14:textId="2239CAD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36176C45" w14:textId="77777777" w:rsidTr="0039321F">
        <w:tc>
          <w:tcPr>
            <w:tcW w:w="703" w:type="dxa"/>
            <w:vAlign w:val="center"/>
          </w:tcPr>
          <w:p w14:paraId="356B61A6" w14:textId="37877627" w:rsidR="00F71050" w:rsidRPr="000B6B22" w:rsidRDefault="000F16AB">
            <w:pPr>
              <w:spacing w:before="0"/>
              <w:rPr>
                <w:rFonts w:ascii="Times New Roman" w:eastAsia="PMingLiU" w:hAnsi="Times New Roman"/>
                <w:sz w:val="24"/>
              </w:rPr>
            </w:pPr>
            <w:r>
              <w:rPr>
                <w:rFonts w:ascii="Times New Roman" w:hAnsi="Times New Roman"/>
                <w:sz w:val="24"/>
              </w:rPr>
              <w:t>0260</w:t>
            </w:r>
          </w:p>
        </w:tc>
        <w:tc>
          <w:tcPr>
            <w:tcW w:w="7371" w:type="dxa"/>
          </w:tcPr>
          <w:p w14:paraId="26410FC8" w14:textId="1E2836D6"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1.2.4. Επιπέδου 2Β τίτλοι από τιτλοποίηση (στεγαστικά δάνεια ή δάνεια για αγορά αυτοκινήτου, ΒΠΠ1)</w:t>
            </w:r>
          </w:p>
          <w:p w14:paraId="14FC8217" w14:textId="48601D7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επιπέδου 1 εξαιρετικά υψηλής ποιότητας καλυμμένα ομόλογα (που παρέχονται ως δάνειο) με τίτλους από τιτλοποίηση επιπέδου 2Β (στεγαστικά δάνεια ή δάνεια αγοράς αυτοκινήτου, ΒΠΠ1) (που λαμβάνονται ως δάνειο)</w:t>
            </w:r>
          </w:p>
        </w:tc>
      </w:tr>
      <w:tr w:rsidR="00B47B7D" w:rsidRPr="000B6B22" w14:paraId="50F47F38" w14:textId="77777777" w:rsidTr="0039321F">
        <w:tc>
          <w:tcPr>
            <w:tcW w:w="703" w:type="dxa"/>
            <w:vAlign w:val="center"/>
          </w:tcPr>
          <w:p w14:paraId="3BA16A95" w14:textId="62CC751B" w:rsidR="00F71050" w:rsidRPr="000B6B22" w:rsidRDefault="000F16AB">
            <w:pPr>
              <w:spacing w:before="0"/>
              <w:rPr>
                <w:rFonts w:ascii="Times New Roman" w:eastAsia="PMingLiU" w:hAnsi="Times New Roman"/>
                <w:sz w:val="24"/>
              </w:rPr>
            </w:pPr>
            <w:r>
              <w:rPr>
                <w:rFonts w:ascii="Times New Roman" w:hAnsi="Times New Roman"/>
                <w:sz w:val="24"/>
              </w:rPr>
              <w:t>0270</w:t>
            </w:r>
          </w:p>
        </w:tc>
        <w:tc>
          <w:tcPr>
            <w:tcW w:w="7371" w:type="dxa"/>
          </w:tcPr>
          <w:p w14:paraId="3A82B5F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1.2.4.1. Των οποίων οι εξασφαλίσεις που ανταλλάσσονται πληρούν τις λειτουργικές απαιτήσεις</w:t>
            </w:r>
          </w:p>
          <w:p w14:paraId="45757BAA" w14:textId="2A586EB9"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1.2.4. τα πιστωτικά ιδρύματα αναφέρουν:</w:t>
            </w:r>
          </w:p>
          <w:p w14:paraId="47160DB0" w14:textId="6EB6A58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παρέχεται ως δάνειο το οποίο,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23DC2E9A" w14:textId="1D9C840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7CA90B7F" w14:textId="77777777" w:rsidTr="0039321F">
        <w:tc>
          <w:tcPr>
            <w:tcW w:w="703" w:type="dxa"/>
            <w:vAlign w:val="center"/>
          </w:tcPr>
          <w:p w14:paraId="4EC166CD" w14:textId="458299B2" w:rsidR="00F71050" w:rsidRPr="000B6B22" w:rsidRDefault="000F16AB">
            <w:pPr>
              <w:spacing w:before="0"/>
              <w:rPr>
                <w:rFonts w:ascii="Times New Roman" w:eastAsia="PMingLiU" w:hAnsi="Times New Roman"/>
                <w:sz w:val="24"/>
              </w:rPr>
            </w:pPr>
            <w:r>
              <w:rPr>
                <w:rFonts w:ascii="Times New Roman" w:hAnsi="Times New Roman"/>
                <w:sz w:val="24"/>
              </w:rPr>
              <w:t>0280</w:t>
            </w:r>
          </w:p>
        </w:tc>
        <w:tc>
          <w:tcPr>
            <w:tcW w:w="7371" w:type="dxa"/>
          </w:tcPr>
          <w:p w14:paraId="6C91B00B"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1.2.5. Επιπέδου 2Β υψηλής ποιότητας καλυμμένα ομόλογα</w:t>
            </w:r>
          </w:p>
          <w:p w14:paraId="50CDA7BE" w14:textId="46704C9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επιπέδου 1 εξαιρετικά υψηλής ποιότητας καλυμμένα ομόλογα (που παρέχονται ως δάνειο) με υψηλής ποιότητας καλυμμένα ομόλογα επιπέδου 2Β (που λαμβάνονται ως δάνειο).</w:t>
            </w:r>
          </w:p>
        </w:tc>
      </w:tr>
      <w:tr w:rsidR="00B47B7D" w:rsidRPr="000B6B22" w14:paraId="50A24D2B" w14:textId="77777777" w:rsidTr="0039321F">
        <w:tc>
          <w:tcPr>
            <w:tcW w:w="703" w:type="dxa"/>
            <w:vAlign w:val="center"/>
          </w:tcPr>
          <w:p w14:paraId="7C2B016B" w14:textId="3E4F22D9" w:rsidR="00F71050" w:rsidRPr="000B6B22" w:rsidRDefault="000F16AB">
            <w:pPr>
              <w:spacing w:before="0"/>
              <w:rPr>
                <w:rFonts w:ascii="Times New Roman" w:eastAsia="PMingLiU" w:hAnsi="Times New Roman"/>
                <w:sz w:val="24"/>
              </w:rPr>
            </w:pPr>
            <w:r>
              <w:rPr>
                <w:rFonts w:ascii="Times New Roman" w:hAnsi="Times New Roman"/>
                <w:sz w:val="24"/>
              </w:rPr>
              <w:lastRenderedPageBreak/>
              <w:t>0290</w:t>
            </w:r>
          </w:p>
        </w:tc>
        <w:tc>
          <w:tcPr>
            <w:tcW w:w="7371" w:type="dxa"/>
          </w:tcPr>
          <w:p w14:paraId="18E2507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1.2.5.1. Των οποίων οι εξασφαλίσεις που ανταλλάσσονται πληρούν τις λειτουργικές απαιτήσεις</w:t>
            </w:r>
          </w:p>
          <w:p w14:paraId="7CEB7826" w14:textId="3DEE62E4"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1.2.5. τα πιστωτικά ιδρύματα αναφέρουν:</w:t>
            </w:r>
          </w:p>
          <w:p w14:paraId="716CDADA" w14:textId="5D384B3F" w:rsidR="00F71050" w:rsidRPr="00FB499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παρέχεται ως δάνειο το οποίο,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51875A5C" w14:textId="53ABA7C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374E0B50" w14:textId="77777777" w:rsidTr="0039321F">
        <w:tc>
          <w:tcPr>
            <w:tcW w:w="703" w:type="dxa"/>
            <w:vAlign w:val="center"/>
          </w:tcPr>
          <w:p w14:paraId="7D774AFA" w14:textId="7CF8A8DC" w:rsidR="00F71050" w:rsidRPr="000B6B22" w:rsidRDefault="000F16AB">
            <w:pPr>
              <w:spacing w:before="0"/>
              <w:rPr>
                <w:rFonts w:ascii="Times New Roman" w:eastAsia="PMingLiU" w:hAnsi="Times New Roman"/>
                <w:sz w:val="24"/>
              </w:rPr>
            </w:pPr>
            <w:r>
              <w:rPr>
                <w:rFonts w:ascii="Times New Roman" w:hAnsi="Times New Roman"/>
                <w:sz w:val="24"/>
              </w:rPr>
              <w:t>0300</w:t>
            </w:r>
          </w:p>
        </w:tc>
        <w:tc>
          <w:tcPr>
            <w:tcW w:w="7371" w:type="dxa"/>
          </w:tcPr>
          <w:p w14:paraId="64844949"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1.2.6. Επιπέδου 2Β τίτλοι από τιτλοποίηση (εμπορικά δάνεια ή δάνεια σε ιδιώτες, κράτος μέλος, ΒΠΠ1)</w:t>
            </w:r>
          </w:p>
          <w:p w14:paraId="13EE4808" w14:textId="4C43E01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επιπέδου 1 εξαιρετικά υψηλής ποιότητας καλυμμένα ομόλογα (που παρέχονται ως δάνειο) με στοιχεία επιπέδου 2Β: τίτλους από τιτλοποίηση (εμπορικά δάνεια ή δάνεια σε ιδιώτες, κράτος μέλος, ΒΠΠ1) (που λαμβάνονται ως δάνειο)</w:t>
            </w:r>
          </w:p>
        </w:tc>
      </w:tr>
      <w:tr w:rsidR="00B47B7D" w:rsidRPr="000B6B22" w14:paraId="7444F5C7" w14:textId="77777777" w:rsidTr="0039321F">
        <w:tc>
          <w:tcPr>
            <w:tcW w:w="703" w:type="dxa"/>
            <w:vAlign w:val="center"/>
          </w:tcPr>
          <w:p w14:paraId="4814BC93" w14:textId="6A72EB71" w:rsidR="00F71050" w:rsidRPr="000B6B22" w:rsidRDefault="000F16AB">
            <w:pPr>
              <w:spacing w:before="0"/>
              <w:rPr>
                <w:rFonts w:ascii="Times New Roman" w:eastAsia="PMingLiU" w:hAnsi="Times New Roman"/>
                <w:sz w:val="24"/>
              </w:rPr>
            </w:pPr>
            <w:r>
              <w:rPr>
                <w:rFonts w:ascii="Times New Roman" w:hAnsi="Times New Roman"/>
                <w:sz w:val="24"/>
              </w:rPr>
              <w:t>0310</w:t>
            </w:r>
          </w:p>
        </w:tc>
        <w:tc>
          <w:tcPr>
            <w:tcW w:w="7371" w:type="dxa"/>
          </w:tcPr>
          <w:p w14:paraId="5E933C4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1.2.6.1. Των οποίων οι εξασφαλίσεις που ανταλλάσσονται πληρούν τις λειτουργικές απαιτήσεις</w:t>
            </w:r>
          </w:p>
          <w:p w14:paraId="4C54FC94" w14:textId="7BCC0232"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1.2.6. τα πιστωτικά ιδρύματα αναφέρουν:</w:t>
            </w:r>
          </w:p>
          <w:p w14:paraId="58B9497B" w14:textId="6480B80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παρέχεται ως δάνειο το οποίο,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0347CB0A" w14:textId="62F7DDB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25AF5AB4" w14:textId="77777777" w:rsidTr="0039321F">
        <w:tc>
          <w:tcPr>
            <w:tcW w:w="703" w:type="dxa"/>
            <w:vAlign w:val="center"/>
          </w:tcPr>
          <w:p w14:paraId="1495C783" w14:textId="55BF4111" w:rsidR="00F71050" w:rsidRPr="000B6B22" w:rsidRDefault="000F16AB">
            <w:pPr>
              <w:spacing w:before="0"/>
              <w:rPr>
                <w:rFonts w:ascii="Times New Roman" w:eastAsia="PMingLiU" w:hAnsi="Times New Roman"/>
                <w:sz w:val="24"/>
              </w:rPr>
            </w:pPr>
            <w:r>
              <w:rPr>
                <w:rFonts w:ascii="Times New Roman" w:hAnsi="Times New Roman"/>
                <w:sz w:val="24"/>
              </w:rPr>
              <w:t>0320</w:t>
            </w:r>
          </w:p>
        </w:tc>
        <w:tc>
          <w:tcPr>
            <w:tcW w:w="7371" w:type="dxa"/>
          </w:tcPr>
          <w:p w14:paraId="5113AC81"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1.2.7. Άλλα στοιχεία ενεργητικού επιπέδου 2Β</w:t>
            </w:r>
          </w:p>
          <w:p w14:paraId="1E1BA5AB" w14:textId="6776AF7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επιπέδου 1 εξαιρετικά υψηλής ποιότητας καλυμμένα ομόλογα (που παρέχονται ως δάνειο) με άλλα στοιχεία επιπέδου 2Β (που λαμβάνονται ως δάνειο).</w:t>
            </w:r>
          </w:p>
        </w:tc>
      </w:tr>
      <w:tr w:rsidR="00B47B7D" w:rsidRPr="000B6B22" w14:paraId="68897FAF" w14:textId="77777777" w:rsidTr="0039321F">
        <w:tc>
          <w:tcPr>
            <w:tcW w:w="703" w:type="dxa"/>
            <w:vAlign w:val="center"/>
          </w:tcPr>
          <w:p w14:paraId="53376D1A" w14:textId="252FFC0C" w:rsidR="00F71050" w:rsidRPr="000B6B22" w:rsidRDefault="000F16AB">
            <w:pPr>
              <w:spacing w:before="0"/>
              <w:rPr>
                <w:rFonts w:ascii="Times New Roman" w:eastAsia="PMingLiU" w:hAnsi="Times New Roman"/>
                <w:sz w:val="24"/>
              </w:rPr>
            </w:pPr>
            <w:r>
              <w:rPr>
                <w:rFonts w:ascii="Times New Roman" w:hAnsi="Times New Roman"/>
                <w:sz w:val="24"/>
              </w:rPr>
              <w:t>0330</w:t>
            </w:r>
          </w:p>
        </w:tc>
        <w:tc>
          <w:tcPr>
            <w:tcW w:w="7371" w:type="dxa"/>
          </w:tcPr>
          <w:p w14:paraId="106163C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1.2.7.1. Των οποίων οι εξασφαλίσεις που ανταλλάσσονται πληρούν τις λειτουργικές απαιτήσεις</w:t>
            </w:r>
          </w:p>
          <w:p w14:paraId="43FD0C76" w14:textId="70BA1DAF"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1.2.7. τα πιστωτικά ιδρύματα αναφέρουν:</w:t>
            </w:r>
          </w:p>
          <w:p w14:paraId="26138FC2" w14:textId="67107D3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παρέχεται ως δάνειο το οποίο,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628D79E0" w14:textId="4F3639C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4154AEB1" w14:textId="77777777" w:rsidTr="0039321F">
        <w:tc>
          <w:tcPr>
            <w:tcW w:w="703" w:type="dxa"/>
            <w:vAlign w:val="center"/>
          </w:tcPr>
          <w:p w14:paraId="7DF43955" w14:textId="3CE52E27" w:rsidR="00F71050" w:rsidRPr="000B6B22" w:rsidRDefault="000F16AB">
            <w:pPr>
              <w:spacing w:before="0"/>
              <w:rPr>
                <w:rFonts w:ascii="Times New Roman" w:eastAsia="PMingLiU" w:hAnsi="Times New Roman"/>
                <w:sz w:val="24"/>
              </w:rPr>
            </w:pPr>
            <w:r>
              <w:rPr>
                <w:rFonts w:ascii="Times New Roman" w:hAnsi="Times New Roman"/>
                <w:sz w:val="24"/>
              </w:rPr>
              <w:lastRenderedPageBreak/>
              <w:t>0340</w:t>
            </w:r>
          </w:p>
        </w:tc>
        <w:tc>
          <w:tcPr>
            <w:tcW w:w="7371" w:type="dxa"/>
          </w:tcPr>
          <w:p w14:paraId="1D486D23"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1.2.8. Μη ρευστά στοιχεία ενεργητικού</w:t>
            </w:r>
          </w:p>
          <w:p w14:paraId="19A09A85" w14:textId="6B1BCD2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επιπέδου 1 εξαιρετικά υψηλής ποιότητας καλυμμένα ομόλογα (που παρέχονται ως δάνειο) με μη ρευστά στοιχεία ενεργητικού (που λαμβάνονται ως δάνειο).</w:t>
            </w:r>
          </w:p>
        </w:tc>
      </w:tr>
      <w:tr w:rsidR="00B47B7D" w:rsidRPr="000B6B22" w14:paraId="5A014869" w14:textId="77777777" w:rsidTr="0039321F">
        <w:tc>
          <w:tcPr>
            <w:tcW w:w="703" w:type="dxa"/>
            <w:shd w:val="clear" w:color="auto" w:fill="auto"/>
            <w:vAlign w:val="center"/>
          </w:tcPr>
          <w:p w14:paraId="68BE95FD" w14:textId="3F28672F" w:rsidR="00F71050" w:rsidRPr="000B6B22" w:rsidRDefault="000F16AB">
            <w:pPr>
              <w:spacing w:before="0"/>
              <w:rPr>
                <w:rFonts w:ascii="Times New Roman" w:eastAsia="PMingLiU" w:hAnsi="Times New Roman"/>
                <w:sz w:val="24"/>
              </w:rPr>
            </w:pPr>
            <w:r>
              <w:rPr>
                <w:rFonts w:ascii="Times New Roman" w:hAnsi="Times New Roman"/>
                <w:sz w:val="24"/>
              </w:rPr>
              <w:t>0350</w:t>
            </w:r>
          </w:p>
        </w:tc>
        <w:tc>
          <w:tcPr>
            <w:tcW w:w="7371" w:type="dxa"/>
            <w:shd w:val="clear" w:color="auto" w:fill="auto"/>
          </w:tcPr>
          <w:p w14:paraId="728CF50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1.2.8.1. Των οποίων οι εξασφαλίσεις που ανταλλάσσονται πληρούν τις λειτουργικές απαιτήσεις</w:t>
            </w:r>
          </w:p>
          <w:p w14:paraId="7B968F38" w14:textId="3BBDDB40"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Από τις συναλλαγές που αναφέρονται στο σημείο 1.2.8., τα πιστωτικά ιδρύματα αναφέρουν το σκέλος της εξασφάλισης που παρέχεται ως δάνειο το οποίο,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w:t>
            </w:r>
          </w:p>
        </w:tc>
      </w:tr>
      <w:tr w:rsidR="00B47B7D" w:rsidRPr="000B6B22" w14:paraId="202F4D3C" w14:textId="77777777" w:rsidTr="0039321F">
        <w:tc>
          <w:tcPr>
            <w:tcW w:w="703" w:type="dxa"/>
            <w:shd w:val="clear" w:color="auto" w:fill="auto"/>
            <w:vAlign w:val="center"/>
          </w:tcPr>
          <w:p w14:paraId="7E43C1BA" w14:textId="0C0B47D3" w:rsidR="00F71050" w:rsidRPr="000B6B22" w:rsidRDefault="000F16AB">
            <w:pPr>
              <w:spacing w:before="0"/>
              <w:rPr>
                <w:rFonts w:ascii="Times New Roman" w:eastAsia="PMingLiU" w:hAnsi="Times New Roman"/>
                <w:sz w:val="24"/>
              </w:rPr>
            </w:pPr>
            <w:r>
              <w:rPr>
                <w:rFonts w:ascii="Times New Roman" w:hAnsi="Times New Roman"/>
                <w:sz w:val="24"/>
              </w:rPr>
              <w:t>0360</w:t>
            </w:r>
          </w:p>
        </w:tc>
        <w:tc>
          <w:tcPr>
            <w:tcW w:w="7371" w:type="dxa"/>
            <w:shd w:val="clear" w:color="auto" w:fill="auto"/>
          </w:tcPr>
          <w:p w14:paraId="310C7245" w14:textId="7D9108B4" w:rsidR="00F71050" w:rsidRPr="000B6B22" w:rsidRDefault="00F71050" w:rsidP="009D4EFF">
            <w:pPr>
              <w:spacing w:before="0"/>
              <w:ind w:left="-84"/>
              <w:rPr>
                <w:rFonts w:ascii="Times New Roman" w:eastAsia="PMingLiU" w:hAnsi="Times New Roman"/>
                <w:sz w:val="24"/>
              </w:rPr>
            </w:pPr>
            <w:r>
              <w:rPr>
                <w:rFonts w:ascii="Times New Roman" w:hAnsi="Times New Roman"/>
                <w:b/>
                <w:sz w:val="24"/>
              </w:rPr>
              <w:t>1.3. Σύνολα για συναλλαγές κατά τις οποίες στοιχεία ενεργητικού επιπέδου 2Α παρέχονται ως δάνειο και οι ακόλουθες εξασφαλίσεις λαμβάνονται ως δάνειο:</w:t>
            </w:r>
          </w:p>
          <w:p w14:paraId="1FFCDDE2" w14:textId="07892B70"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Άρθρο 28 παράγραφος 4 και άρθρο 32 παράγραφος 3 του κατ’ εξουσιοδότηση κανονισμού (ΕΕ) 2015/61</w:t>
            </w:r>
          </w:p>
          <w:p w14:paraId="18C6DD95" w14:textId="19A5CBC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Τα πιστωτικά ιδρύματα αναφέρουν εδώ, για τις σχετικές στήλες, τις συνολικές αξίες των πράξεων ανταλλαγής εξασφαλίσεων για συναλλαγές κατά τις οποίες στοιχεία ενεργητικού επιπέδου 2Α παρέχονται ως δάνειο.</w:t>
            </w:r>
          </w:p>
        </w:tc>
      </w:tr>
      <w:tr w:rsidR="00B47B7D" w:rsidRPr="000B6B22" w14:paraId="52BBA5B6" w14:textId="77777777" w:rsidTr="0039321F">
        <w:tc>
          <w:tcPr>
            <w:tcW w:w="703" w:type="dxa"/>
            <w:vAlign w:val="center"/>
          </w:tcPr>
          <w:p w14:paraId="51B2C1CD" w14:textId="27CF23A6" w:rsidR="00F71050" w:rsidRPr="000B6B22" w:rsidRDefault="000F16AB">
            <w:pPr>
              <w:spacing w:before="0"/>
              <w:rPr>
                <w:rFonts w:ascii="Times New Roman" w:eastAsia="PMingLiU" w:hAnsi="Times New Roman"/>
                <w:sz w:val="24"/>
              </w:rPr>
            </w:pPr>
            <w:r>
              <w:rPr>
                <w:rFonts w:ascii="Times New Roman" w:hAnsi="Times New Roman"/>
                <w:sz w:val="24"/>
              </w:rPr>
              <w:t>0370</w:t>
            </w:r>
          </w:p>
        </w:tc>
        <w:tc>
          <w:tcPr>
            <w:tcW w:w="7371" w:type="dxa"/>
          </w:tcPr>
          <w:p w14:paraId="51C1A87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1.3.1. Στοιχεία ενεργητικού επιπέδου 1 (εξαιρουμένων των ΕΥΠ καλυμμένων ομολόγων)</w:t>
            </w:r>
          </w:p>
          <w:p w14:paraId="2EFD9EA3" w14:textId="6FF4E39F"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sz w:val="24"/>
              </w:rPr>
              <w:t>Συναλλαγές κατά τις οποίες το ίδρυμα έχει ανταλλάξει στοιχεία ενεργητικού επιπέδου 2Α (που παρέχονται ως δάνειο) με στοιχεία ενεργητικού επιπέδου 1 εξαιρουμένων των ΕΥΠ καλυμμένων ομολόγων (που λαμβάνονται ως δάνειο).</w:t>
            </w:r>
          </w:p>
        </w:tc>
      </w:tr>
      <w:tr w:rsidR="00B47B7D" w:rsidRPr="000B6B22" w14:paraId="31897CFA" w14:textId="77777777" w:rsidTr="0039321F">
        <w:tc>
          <w:tcPr>
            <w:tcW w:w="703" w:type="dxa"/>
            <w:vAlign w:val="center"/>
          </w:tcPr>
          <w:p w14:paraId="03D11070" w14:textId="50976168" w:rsidR="00F71050" w:rsidRPr="000B6B22" w:rsidRDefault="000F16AB">
            <w:pPr>
              <w:spacing w:before="0"/>
              <w:rPr>
                <w:rFonts w:ascii="Times New Roman" w:eastAsia="PMingLiU" w:hAnsi="Times New Roman"/>
                <w:sz w:val="24"/>
              </w:rPr>
            </w:pPr>
            <w:r>
              <w:rPr>
                <w:rFonts w:ascii="Times New Roman" w:hAnsi="Times New Roman"/>
                <w:sz w:val="24"/>
              </w:rPr>
              <w:t>0380</w:t>
            </w:r>
          </w:p>
        </w:tc>
        <w:tc>
          <w:tcPr>
            <w:tcW w:w="7371" w:type="dxa"/>
          </w:tcPr>
          <w:p w14:paraId="0670399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1.3.1.1. Των οποίων οι εξασφαλίσεις που ανταλλάσσονται πληρούν τις λειτουργικές απαιτήσεις</w:t>
            </w:r>
          </w:p>
          <w:p w14:paraId="1D5AC6F8" w14:textId="4017D105"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1.3.1. τα πιστωτικά ιδρύματα αναφέρουν:</w:t>
            </w:r>
          </w:p>
          <w:p w14:paraId="2F16BF7A" w14:textId="05E89FC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παρέχεται ως δάνειο το οποίο,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2077DDEC" w14:textId="20CD395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55A9BB5C" w14:textId="77777777" w:rsidTr="0039321F">
        <w:tc>
          <w:tcPr>
            <w:tcW w:w="703" w:type="dxa"/>
            <w:vAlign w:val="center"/>
          </w:tcPr>
          <w:p w14:paraId="028C5F49" w14:textId="5A80C545" w:rsidR="00F71050" w:rsidRPr="000B6B22" w:rsidRDefault="000F16AB">
            <w:pPr>
              <w:spacing w:before="0"/>
              <w:rPr>
                <w:rFonts w:ascii="Times New Roman" w:eastAsia="PMingLiU" w:hAnsi="Times New Roman"/>
                <w:sz w:val="24"/>
              </w:rPr>
            </w:pPr>
            <w:r>
              <w:rPr>
                <w:rFonts w:ascii="Times New Roman" w:hAnsi="Times New Roman"/>
                <w:sz w:val="24"/>
              </w:rPr>
              <w:t>0390</w:t>
            </w:r>
          </w:p>
        </w:tc>
        <w:tc>
          <w:tcPr>
            <w:tcW w:w="7371" w:type="dxa"/>
          </w:tcPr>
          <w:p w14:paraId="5E302C8A"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1.3.2. Επιπέδου 1 εξαιρετικά υψηλής ποιότητας καλυμμένα ομόλογα</w:t>
            </w:r>
          </w:p>
          <w:p w14:paraId="5B43DE08" w14:textId="2E028F8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στοιχεία ενεργητικού επιπέδου 2Α (που παρέχονται ως δάνειο) με επιπέδου 1 εξαιρετικά υψηλής ποιότητας καλυμμένα ομόλογα (που λαμβάνονται ως δάνειο).</w:t>
            </w:r>
          </w:p>
        </w:tc>
      </w:tr>
      <w:tr w:rsidR="00B47B7D" w:rsidRPr="000B6B22" w14:paraId="2D042029" w14:textId="77777777" w:rsidTr="0039321F">
        <w:tc>
          <w:tcPr>
            <w:tcW w:w="703" w:type="dxa"/>
            <w:shd w:val="clear" w:color="auto" w:fill="FFFFFF"/>
            <w:vAlign w:val="center"/>
          </w:tcPr>
          <w:p w14:paraId="6B85AC2F" w14:textId="191CD6E3" w:rsidR="00F71050" w:rsidRPr="000B6B22" w:rsidRDefault="000F16AB">
            <w:pPr>
              <w:spacing w:before="0"/>
              <w:rPr>
                <w:rFonts w:ascii="Times New Roman" w:eastAsia="PMingLiU" w:hAnsi="Times New Roman"/>
                <w:sz w:val="24"/>
              </w:rPr>
            </w:pPr>
            <w:r>
              <w:rPr>
                <w:rFonts w:ascii="Times New Roman" w:hAnsi="Times New Roman"/>
                <w:sz w:val="24"/>
              </w:rPr>
              <w:t>0400</w:t>
            </w:r>
          </w:p>
        </w:tc>
        <w:tc>
          <w:tcPr>
            <w:tcW w:w="7371" w:type="dxa"/>
            <w:shd w:val="clear" w:color="auto" w:fill="FFFFFF"/>
          </w:tcPr>
          <w:p w14:paraId="022B794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1.3.2.1. Των οποίων οι εξασφαλίσεις που ανταλλάσσονται πληρούν τις λειτουργικές απαιτήσεις</w:t>
            </w:r>
          </w:p>
          <w:p w14:paraId="706AD511" w14:textId="355E0E4C" w:rsidR="00F71050" w:rsidRPr="000B6B22" w:rsidRDefault="00F71050" w:rsidP="009D4EFF">
            <w:pPr>
              <w:spacing w:before="0"/>
              <w:ind w:left="-84"/>
              <w:rPr>
                <w:rFonts w:ascii="Times New Roman" w:hAnsi="Times New Roman"/>
                <w:sz w:val="24"/>
              </w:rPr>
            </w:pPr>
            <w:r>
              <w:rPr>
                <w:rFonts w:ascii="Times New Roman" w:hAnsi="Times New Roman"/>
                <w:sz w:val="24"/>
              </w:rPr>
              <w:lastRenderedPageBreak/>
              <w:t>Από τις συναλλαγές που αναφέρονται στο σημείο 1.3.2. τα πιστωτικά ιδρύματα αναφέρουν:</w:t>
            </w:r>
          </w:p>
          <w:p w14:paraId="49A076F5" w14:textId="4E0C2D1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παρέχεται ως δάνειο το οποίο,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173024E5" w14:textId="33480AE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0E367065" w14:textId="77777777" w:rsidTr="0039321F">
        <w:tc>
          <w:tcPr>
            <w:tcW w:w="703" w:type="dxa"/>
            <w:shd w:val="clear" w:color="auto" w:fill="FFFFFF"/>
            <w:vAlign w:val="center"/>
          </w:tcPr>
          <w:p w14:paraId="12529CDD" w14:textId="026C8EBF" w:rsidR="00F71050" w:rsidRPr="000B6B22" w:rsidRDefault="000F16AB">
            <w:pPr>
              <w:spacing w:before="0"/>
              <w:rPr>
                <w:rFonts w:ascii="Times New Roman" w:eastAsia="PMingLiU" w:hAnsi="Times New Roman"/>
                <w:sz w:val="24"/>
              </w:rPr>
            </w:pPr>
            <w:r>
              <w:rPr>
                <w:rFonts w:ascii="Times New Roman" w:hAnsi="Times New Roman"/>
                <w:sz w:val="24"/>
              </w:rPr>
              <w:lastRenderedPageBreak/>
              <w:t>0410</w:t>
            </w:r>
          </w:p>
        </w:tc>
        <w:tc>
          <w:tcPr>
            <w:tcW w:w="7371" w:type="dxa"/>
            <w:shd w:val="clear" w:color="auto" w:fill="FFFFFF"/>
          </w:tcPr>
          <w:p w14:paraId="06588735"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1.3.3. Στοιχεία ενεργητικού επιπέδου 2Α</w:t>
            </w:r>
          </w:p>
          <w:p w14:paraId="037081F6" w14:textId="1007287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στοιχεία ενεργητικού επιπέδου 2Α (που παρέχονται ως δάνειο) με στοιχεία ενεργητικού επιπέδου 2Α (που λαμβάνονται ως δάνειο).</w:t>
            </w:r>
          </w:p>
        </w:tc>
      </w:tr>
      <w:tr w:rsidR="00B47B7D" w:rsidRPr="000B6B22" w14:paraId="2675B31A" w14:textId="77777777" w:rsidTr="0039321F">
        <w:tc>
          <w:tcPr>
            <w:tcW w:w="703" w:type="dxa"/>
            <w:vAlign w:val="center"/>
          </w:tcPr>
          <w:p w14:paraId="598284BE" w14:textId="19ACE56B" w:rsidR="00F71050" w:rsidRPr="000B6B22" w:rsidRDefault="000F16AB">
            <w:pPr>
              <w:spacing w:before="0"/>
              <w:rPr>
                <w:rFonts w:ascii="Times New Roman" w:eastAsia="PMingLiU" w:hAnsi="Times New Roman"/>
                <w:sz w:val="24"/>
              </w:rPr>
            </w:pPr>
            <w:r>
              <w:rPr>
                <w:rFonts w:ascii="Times New Roman" w:hAnsi="Times New Roman"/>
                <w:sz w:val="24"/>
              </w:rPr>
              <w:t>0420</w:t>
            </w:r>
          </w:p>
        </w:tc>
        <w:tc>
          <w:tcPr>
            <w:tcW w:w="7371" w:type="dxa"/>
            <w:shd w:val="clear" w:color="auto" w:fill="auto"/>
          </w:tcPr>
          <w:p w14:paraId="7F2B53B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1.3.3.1. Των οποίων οι εξασφαλίσεις που ανταλλάσσονται πληρούν τις λειτουργικές απαιτήσεις</w:t>
            </w:r>
          </w:p>
          <w:p w14:paraId="69527EBC" w14:textId="7591E781"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1.3.3. τα πιστωτικά ιδρύματα αναφέρουν:</w:t>
            </w:r>
          </w:p>
          <w:p w14:paraId="2EE99B60" w14:textId="769F9CB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παρέχεται ως δάνειο το οποίο,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762FE51E" w14:textId="7DA7468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458CA3F2" w14:textId="77777777" w:rsidTr="0039321F">
        <w:tc>
          <w:tcPr>
            <w:tcW w:w="703" w:type="dxa"/>
            <w:vAlign w:val="center"/>
          </w:tcPr>
          <w:p w14:paraId="0C64A206" w14:textId="18E9FDE9" w:rsidR="00F71050" w:rsidRPr="000B6B22" w:rsidRDefault="000F16AB">
            <w:pPr>
              <w:spacing w:before="0"/>
              <w:rPr>
                <w:rFonts w:ascii="Times New Roman" w:eastAsia="PMingLiU" w:hAnsi="Times New Roman"/>
                <w:sz w:val="24"/>
              </w:rPr>
            </w:pPr>
            <w:r>
              <w:rPr>
                <w:rFonts w:ascii="Times New Roman" w:hAnsi="Times New Roman"/>
                <w:sz w:val="24"/>
              </w:rPr>
              <w:t>0430</w:t>
            </w:r>
          </w:p>
        </w:tc>
        <w:tc>
          <w:tcPr>
            <w:tcW w:w="7371" w:type="dxa"/>
            <w:shd w:val="clear" w:color="auto" w:fill="auto"/>
          </w:tcPr>
          <w:p w14:paraId="57AEEE1C" w14:textId="154A5E5A"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1.3.4. Επιπέδου 2Β τίτλοι από τιτλοποίηση (στεγαστικά δάνεια ή δάνεια για αγορά αυτοκινήτου, ΒΠΠ1)</w:t>
            </w:r>
          </w:p>
          <w:p w14:paraId="07EA60B5" w14:textId="166CB413"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Συναλλαγές κατά τις οποίες το ίδρυμα έχει ανταλλάξει στοιχεία ενεργητικού επιπέδου 2Α (που παρέχονται ως δάνειο) με τίτλους από τιτλοποίηση επιπέδου 2Β (στεγαστικά δάνεια ή δάνεια αγοράς αυτοκινήτου, ΒΠΠ 1) (που λαμβάνονται ως δάνειο) </w:t>
            </w:r>
          </w:p>
        </w:tc>
      </w:tr>
      <w:tr w:rsidR="00B47B7D" w:rsidRPr="000B6B22" w14:paraId="14FD24C4" w14:textId="77777777" w:rsidTr="0039321F">
        <w:tc>
          <w:tcPr>
            <w:tcW w:w="703" w:type="dxa"/>
            <w:vAlign w:val="center"/>
          </w:tcPr>
          <w:p w14:paraId="3F7A4A7D" w14:textId="63BE9B6D" w:rsidR="00F71050" w:rsidRPr="000B6B22" w:rsidRDefault="000F16AB">
            <w:pPr>
              <w:spacing w:before="0"/>
              <w:rPr>
                <w:rFonts w:ascii="Times New Roman" w:eastAsia="PMingLiU" w:hAnsi="Times New Roman"/>
                <w:sz w:val="24"/>
              </w:rPr>
            </w:pPr>
            <w:r>
              <w:rPr>
                <w:rFonts w:ascii="Times New Roman" w:hAnsi="Times New Roman"/>
                <w:sz w:val="24"/>
              </w:rPr>
              <w:t>0440</w:t>
            </w:r>
          </w:p>
        </w:tc>
        <w:tc>
          <w:tcPr>
            <w:tcW w:w="7371" w:type="dxa"/>
            <w:shd w:val="clear" w:color="auto" w:fill="auto"/>
          </w:tcPr>
          <w:p w14:paraId="5188738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1.3.4.1. Των οποίων οι εξασφαλίσεις που ανταλλάσσονται πληρούν τις λειτουργικές απαιτήσεις</w:t>
            </w:r>
          </w:p>
          <w:p w14:paraId="2FD9E5CA" w14:textId="6344FBEA"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1.3.4. τα πιστωτικά ιδρύματα αναφέρουν:</w:t>
            </w:r>
          </w:p>
          <w:p w14:paraId="2812B3D3" w14:textId="688136FE" w:rsidR="00F71050" w:rsidRPr="00867380"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παρέχεται ως δάνειο το οποίο,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647FC6DE" w14:textId="4027993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31E302A6" w14:textId="77777777" w:rsidTr="0039321F">
        <w:tc>
          <w:tcPr>
            <w:tcW w:w="703" w:type="dxa"/>
            <w:vAlign w:val="center"/>
          </w:tcPr>
          <w:p w14:paraId="4E783F2E" w14:textId="225D7EE3" w:rsidR="00F71050" w:rsidRPr="000B6B22" w:rsidRDefault="000F16AB">
            <w:pPr>
              <w:spacing w:before="0"/>
              <w:rPr>
                <w:rFonts w:ascii="Times New Roman" w:eastAsia="PMingLiU" w:hAnsi="Times New Roman"/>
                <w:sz w:val="24"/>
              </w:rPr>
            </w:pPr>
            <w:r>
              <w:rPr>
                <w:rFonts w:ascii="Times New Roman" w:hAnsi="Times New Roman"/>
                <w:sz w:val="24"/>
              </w:rPr>
              <w:t>0450</w:t>
            </w:r>
          </w:p>
        </w:tc>
        <w:tc>
          <w:tcPr>
            <w:tcW w:w="7371" w:type="dxa"/>
            <w:shd w:val="clear" w:color="auto" w:fill="auto"/>
          </w:tcPr>
          <w:p w14:paraId="761CA897"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1.3.5. Επιπέδου 2Β υψηλής ποιότητας καλυμμένα ομόλογα</w:t>
            </w:r>
          </w:p>
          <w:p w14:paraId="7C2EFE69" w14:textId="39B523B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Συναλλαγές κατά τις οποίες το ίδρυμα έχει ανταλλάξει στοιχεία ενεργητικού επιπέδου 2Α (που παρέχονται ως δάνειο) με υψηλής ποιότητας καλυμμένα ομόλογα επιπέδου 2Β (που λαμβάνονται ως δάνειο).</w:t>
            </w:r>
          </w:p>
        </w:tc>
      </w:tr>
      <w:tr w:rsidR="00B47B7D" w:rsidRPr="000B6B22" w14:paraId="289A46B0" w14:textId="77777777" w:rsidTr="0039321F">
        <w:tc>
          <w:tcPr>
            <w:tcW w:w="703" w:type="dxa"/>
            <w:shd w:val="clear" w:color="auto" w:fill="FFFFFF"/>
            <w:vAlign w:val="center"/>
          </w:tcPr>
          <w:p w14:paraId="6CE9618F" w14:textId="77D99F95" w:rsidR="00F71050" w:rsidRPr="000B6B22" w:rsidRDefault="000F16AB">
            <w:pPr>
              <w:spacing w:before="0"/>
              <w:rPr>
                <w:rFonts w:ascii="Times New Roman" w:eastAsia="PMingLiU" w:hAnsi="Times New Roman"/>
                <w:sz w:val="24"/>
              </w:rPr>
            </w:pPr>
            <w:r>
              <w:rPr>
                <w:rFonts w:ascii="Times New Roman" w:hAnsi="Times New Roman"/>
                <w:sz w:val="24"/>
              </w:rPr>
              <w:lastRenderedPageBreak/>
              <w:t>0460</w:t>
            </w:r>
          </w:p>
        </w:tc>
        <w:tc>
          <w:tcPr>
            <w:tcW w:w="7371" w:type="dxa"/>
            <w:shd w:val="clear" w:color="auto" w:fill="FFFFFF"/>
          </w:tcPr>
          <w:p w14:paraId="5050A12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1.3.5.1. Των οποίων οι εξασφαλίσεις που ανταλλάσσονται πληρούν τις λειτουργικές απαιτήσεις</w:t>
            </w:r>
          </w:p>
          <w:p w14:paraId="1E1075C8" w14:textId="3436CA43"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1.3.5. τα πιστωτικά ιδρύματα αναφέρουν:</w:t>
            </w:r>
          </w:p>
          <w:p w14:paraId="215DF84B" w14:textId="7527FA65" w:rsidR="00F71050" w:rsidRPr="00867380"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παρέχεται ως δάνειο το οποίο,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1EE3EA25" w14:textId="19BDE98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7AF71B29" w14:textId="77777777" w:rsidTr="0039321F">
        <w:tc>
          <w:tcPr>
            <w:tcW w:w="703" w:type="dxa"/>
            <w:shd w:val="clear" w:color="auto" w:fill="FFFFFF"/>
            <w:vAlign w:val="center"/>
          </w:tcPr>
          <w:p w14:paraId="41969F16" w14:textId="72CBFE27" w:rsidR="00F71050" w:rsidRPr="000B6B22" w:rsidRDefault="000F16AB">
            <w:pPr>
              <w:spacing w:before="0"/>
              <w:rPr>
                <w:rFonts w:ascii="Times New Roman" w:eastAsia="PMingLiU" w:hAnsi="Times New Roman"/>
                <w:sz w:val="24"/>
              </w:rPr>
            </w:pPr>
            <w:r>
              <w:rPr>
                <w:rFonts w:ascii="Times New Roman" w:hAnsi="Times New Roman"/>
                <w:sz w:val="24"/>
              </w:rPr>
              <w:t>0470</w:t>
            </w:r>
          </w:p>
        </w:tc>
        <w:tc>
          <w:tcPr>
            <w:tcW w:w="7371" w:type="dxa"/>
            <w:shd w:val="clear" w:color="auto" w:fill="FFFFFF"/>
          </w:tcPr>
          <w:p w14:paraId="278D37CE" w14:textId="25B3DA99"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1.3.6. Επιπέδου 2Β τίτλοι από τιτλοποίηση (εμπορικά δάνεια ή δάνεια σε ιδιώτες, κράτος μέλος, ΒΠΠ1)</w:t>
            </w:r>
          </w:p>
          <w:p w14:paraId="4D52C25C" w14:textId="4BEBB72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στοιχεία ενεργητικού επιπέδου 2Α (που παρέχονται ως δάνειο) με στοιχεία επιπέδου 2Β: τίτλους από τιτλοποίηση (εμπορικά δάνεια ή δάνεια σε ιδιώτες, κράτος μέλος, ΒΠΠ1) (που λαμβάνονται ως δάνειο).</w:t>
            </w:r>
          </w:p>
        </w:tc>
      </w:tr>
      <w:tr w:rsidR="00B47B7D" w:rsidRPr="000B6B22" w14:paraId="53BE6067" w14:textId="77777777" w:rsidTr="0039321F">
        <w:tc>
          <w:tcPr>
            <w:tcW w:w="703" w:type="dxa"/>
            <w:shd w:val="clear" w:color="auto" w:fill="FFFFFF"/>
            <w:vAlign w:val="center"/>
          </w:tcPr>
          <w:p w14:paraId="74D9E8A1" w14:textId="16E21515" w:rsidR="00F71050" w:rsidRPr="000B6B22" w:rsidRDefault="000F16AB">
            <w:pPr>
              <w:spacing w:before="0"/>
              <w:rPr>
                <w:rFonts w:ascii="Times New Roman" w:eastAsia="PMingLiU" w:hAnsi="Times New Roman"/>
                <w:sz w:val="24"/>
              </w:rPr>
            </w:pPr>
            <w:r>
              <w:rPr>
                <w:rFonts w:ascii="Times New Roman" w:hAnsi="Times New Roman"/>
                <w:sz w:val="24"/>
              </w:rPr>
              <w:t>0480</w:t>
            </w:r>
          </w:p>
        </w:tc>
        <w:tc>
          <w:tcPr>
            <w:tcW w:w="7371" w:type="dxa"/>
            <w:shd w:val="clear" w:color="auto" w:fill="FFFFFF"/>
          </w:tcPr>
          <w:p w14:paraId="66BE68B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1.3.6.1. Των οποίων οι εξασφαλίσεις που ανταλλάσσονται πληρούν τις λειτουργικές απαιτήσεις</w:t>
            </w:r>
          </w:p>
          <w:p w14:paraId="25B14CB8" w14:textId="49120F0D"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1.3.6. τα πιστωτικά ιδρύματα αναφέρουν:</w:t>
            </w:r>
          </w:p>
          <w:p w14:paraId="27D34E68" w14:textId="5E1EC6F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παρέχεται ως δάνειο το οποίο,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3672233B" w14:textId="2CDDD0D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06FF46DE" w14:textId="77777777" w:rsidTr="0039321F">
        <w:tc>
          <w:tcPr>
            <w:tcW w:w="703" w:type="dxa"/>
            <w:shd w:val="clear" w:color="auto" w:fill="FFFFFF"/>
            <w:vAlign w:val="center"/>
          </w:tcPr>
          <w:p w14:paraId="498544AE" w14:textId="7A4F844B" w:rsidR="00F71050" w:rsidRPr="000B6B22" w:rsidRDefault="000F16AB">
            <w:pPr>
              <w:spacing w:before="0"/>
              <w:rPr>
                <w:rFonts w:ascii="Times New Roman" w:eastAsia="PMingLiU" w:hAnsi="Times New Roman"/>
                <w:sz w:val="24"/>
              </w:rPr>
            </w:pPr>
            <w:r>
              <w:rPr>
                <w:rFonts w:ascii="Times New Roman" w:hAnsi="Times New Roman"/>
                <w:sz w:val="24"/>
              </w:rPr>
              <w:t>0490</w:t>
            </w:r>
          </w:p>
        </w:tc>
        <w:tc>
          <w:tcPr>
            <w:tcW w:w="7371" w:type="dxa"/>
            <w:shd w:val="clear" w:color="auto" w:fill="FFFFFF"/>
          </w:tcPr>
          <w:p w14:paraId="18A8AB51"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1.3.7. Άλλα στοιχεία ενεργητικού επιπέδου 2Β</w:t>
            </w:r>
          </w:p>
          <w:p w14:paraId="2CD874A2" w14:textId="54A1D67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στοιχεία ενεργητικού επιπέδου 2Α (που παρέχονται ως δάνειο) με άλλα στοιχεία επιπέδου 2Β (που λαμβάνονται ως δάνειο).</w:t>
            </w:r>
          </w:p>
        </w:tc>
      </w:tr>
      <w:tr w:rsidR="00B47B7D" w:rsidRPr="000B6B22" w14:paraId="45884FC4" w14:textId="77777777" w:rsidTr="0039321F">
        <w:tc>
          <w:tcPr>
            <w:tcW w:w="703" w:type="dxa"/>
            <w:shd w:val="clear" w:color="auto" w:fill="FFFFFF"/>
            <w:vAlign w:val="center"/>
          </w:tcPr>
          <w:p w14:paraId="0A4E683A" w14:textId="57931DE4" w:rsidR="00F71050" w:rsidRPr="000B6B22" w:rsidRDefault="000F16AB">
            <w:pPr>
              <w:spacing w:before="0"/>
              <w:rPr>
                <w:rFonts w:ascii="Times New Roman" w:eastAsia="PMingLiU" w:hAnsi="Times New Roman"/>
                <w:sz w:val="24"/>
              </w:rPr>
            </w:pPr>
            <w:r>
              <w:rPr>
                <w:rFonts w:ascii="Times New Roman" w:hAnsi="Times New Roman"/>
                <w:sz w:val="24"/>
              </w:rPr>
              <w:t>0500</w:t>
            </w:r>
          </w:p>
        </w:tc>
        <w:tc>
          <w:tcPr>
            <w:tcW w:w="7371" w:type="dxa"/>
            <w:shd w:val="clear" w:color="auto" w:fill="FFFFFF"/>
          </w:tcPr>
          <w:p w14:paraId="7D0127A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1.3.7.1. Των οποίων οι εξασφαλίσεις που ανταλλάσσονται πληρούν τις λειτουργικές απαιτήσεις</w:t>
            </w:r>
          </w:p>
          <w:p w14:paraId="5236FFFA" w14:textId="4C2A9BE4"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1.3.7. τα πιστωτικά ιδρύματα αναφέρουν:</w:t>
            </w:r>
          </w:p>
          <w:p w14:paraId="68A655E5" w14:textId="5FAD97ED" w:rsidR="00F71050" w:rsidRPr="00F3662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παρέχεται ως δάνειο το οποίο,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633363CB" w14:textId="21AA533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3E08FA6F" w14:textId="77777777" w:rsidTr="0039321F">
        <w:tc>
          <w:tcPr>
            <w:tcW w:w="703" w:type="dxa"/>
            <w:shd w:val="clear" w:color="auto" w:fill="FFFFFF"/>
            <w:vAlign w:val="center"/>
          </w:tcPr>
          <w:p w14:paraId="1968F70F" w14:textId="41EE9C5A" w:rsidR="00F71050" w:rsidRPr="000B6B22" w:rsidRDefault="000F16AB">
            <w:pPr>
              <w:spacing w:before="0"/>
              <w:rPr>
                <w:rFonts w:ascii="Times New Roman" w:eastAsia="PMingLiU" w:hAnsi="Times New Roman"/>
                <w:sz w:val="24"/>
              </w:rPr>
            </w:pPr>
            <w:r>
              <w:rPr>
                <w:rFonts w:ascii="Times New Roman" w:hAnsi="Times New Roman"/>
                <w:sz w:val="24"/>
              </w:rPr>
              <w:lastRenderedPageBreak/>
              <w:t>0510</w:t>
            </w:r>
          </w:p>
        </w:tc>
        <w:tc>
          <w:tcPr>
            <w:tcW w:w="7371" w:type="dxa"/>
            <w:shd w:val="clear" w:color="auto" w:fill="FFFFFF"/>
          </w:tcPr>
          <w:p w14:paraId="651DCE70" w14:textId="1E481378"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1.3.8. Μη ρευστά στοιχεία ενεργητικού</w:t>
            </w:r>
          </w:p>
          <w:p w14:paraId="73311BEB" w14:textId="2E6DCF7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στοιχεία ενεργητικού επιπέδου 2Α (που παρέχονται ως δάνειο) με μη ρευστά στοιχεία ενεργητικού (που λαμβάνονται ως δάνειο).</w:t>
            </w:r>
          </w:p>
        </w:tc>
      </w:tr>
      <w:tr w:rsidR="00B47B7D" w:rsidRPr="000B6B22" w14:paraId="03AFC67D" w14:textId="77777777" w:rsidTr="0039321F">
        <w:tc>
          <w:tcPr>
            <w:tcW w:w="703" w:type="dxa"/>
            <w:shd w:val="clear" w:color="auto" w:fill="auto"/>
            <w:vAlign w:val="center"/>
          </w:tcPr>
          <w:p w14:paraId="797C5C19" w14:textId="79F11171" w:rsidR="00F71050" w:rsidRPr="000B6B22" w:rsidRDefault="000F16AB">
            <w:pPr>
              <w:spacing w:before="0"/>
              <w:rPr>
                <w:rFonts w:ascii="Times New Roman" w:eastAsia="PMingLiU" w:hAnsi="Times New Roman"/>
                <w:sz w:val="24"/>
              </w:rPr>
            </w:pPr>
            <w:r>
              <w:rPr>
                <w:rFonts w:ascii="Times New Roman" w:hAnsi="Times New Roman"/>
                <w:sz w:val="24"/>
              </w:rPr>
              <w:t>0520</w:t>
            </w:r>
          </w:p>
        </w:tc>
        <w:tc>
          <w:tcPr>
            <w:tcW w:w="7371" w:type="dxa"/>
            <w:shd w:val="clear" w:color="auto" w:fill="auto"/>
          </w:tcPr>
          <w:p w14:paraId="32E61AE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1.3.8.1. Των οποίων οι εξασφαλίσεις που ανταλλάσσονται πληρούν τις λειτουργικές απαιτήσεις</w:t>
            </w:r>
          </w:p>
          <w:p w14:paraId="6D5F7F9E" w14:textId="45BCA527"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Από τις συναλλαγές που αναφέρονται στο σημείο 1.3.8., τα πιστωτικά ιδρύματα αναφέρουν το σκέλος της εξασφάλισης που παρέχεται ως δάνειο το οποίο,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w:t>
            </w:r>
          </w:p>
        </w:tc>
      </w:tr>
      <w:tr w:rsidR="00B47B7D" w:rsidRPr="000B6B22" w14:paraId="6A2BB691" w14:textId="77777777" w:rsidTr="0039321F">
        <w:tc>
          <w:tcPr>
            <w:tcW w:w="703" w:type="dxa"/>
            <w:shd w:val="clear" w:color="auto" w:fill="auto"/>
            <w:vAlign w:val="center"/>
          </w:tcPr>
          <w:p w14:paraId="095E6714" w14:textId="303719B5" w:rsidR="00F71050" w:rsidRPr="000B6B22" w:rsidRDefault="000F16AB">
            <w:pPr>
              <w:spacing w:before="0"/>
              <w:rPr>
                <w:rFonts w:ascii="Times New Roman" w:eastAsia="PMingLiU" w:hAnsi="Times New Roman"/>
                <w:sz w:val="24"/>
              </w:rPr>
            </w:pPr>
            <w:r>
              <w:rPr>
                <w:rFonts w:ascii="Times New Roman" w:hAnsi="Times New Roman"/>
                <w:sz w:val="24"/>
              </w:rPr>
              <w:t>0530</w:t>
            </w:r>
          </w:p>
        </w:tc>
        <w:tc>
          <w:tcPr>
            <w:tcW w:w="7371" w:type="dxa"/>
            <w:shd w:val="clear" w:color="auto" w:fill="auto"/>
          </w:tcPr>
          <w:p w14:paraId="05A5308D"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1.4. Σύνολα για συναλλαγές κατά τις οποίες: τίτλοι επιπέδου 2Β από τιτλοποίηση (στεγαστικά δάνεια ή δάνεια για αγορά αυτοκινήτου, ΒΠΠ1) παρέχονται ως δάνειο και οι ακόλουθες εξασφαλίσεις λαμβάνονται ως δάνειο:</w:t>
            </w:r>
          </w:p>
          <w:p w14:paraId="3139FF9C" w14:textId="6FFBF60A"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Άρθρο 28 παράγραφος 4 και άρθρο 32 παράγραφος 3 του κατ’ εξουσιοδότηση κανονισμού (ΕΕ) 2015/61</w:t>
            </w:r>
          </w:p>
          <w:p w14:paraId="4A779F6B" w14:textId="59D90DE5" w:rsidR="00F71050" w:rsidRPr="000B6B22" w:rsidRDefault="00FB499E" w:rsidP="009D4EFF">
            <w:pPr>
              <w:spacing w:before="0"/>
              <w:ind w:left="-84"/>
              <w:rPr>
                <w:rFonts w:ascii="Times New Roman" w:eastAsia="PMingLiU" w:hAnsi="Times New Roman"/>
                <w:bCs/>
                <w:sz w:val="24"/>
              </w:rPr>
            </w:pPr>
            <w:r>
              <w:rPr>
                <w:rFonts w:ascii="Times New Roman" w:hAnsi="Times New Roman"/>
                <w:sz w:val="24"/>
              </w:rPr>
              <w:t>Τα πιστωτικά ιδρύματα αναφέρουν εδώ, για τις σχετικές στήλες, τις συνολικές αξίες των πράξεων ανταλλαγής εξασφαλίσεων για συναλλαγές κατά τις οποίες τίτλοι από τιτλοποίηση επιπέδου 2Β (στεγαστικά δάνεια ή δάνεια αγοράς αυτοκινήτου, ΒΠΠ1) παρέχονται ως δάνειο.</w:t>
            </w:r>
          </w:p>
        </w:tc>
      </w:tr>
      <w:tr w:rsidR="00B47B7D" w:rsidRPr="000B6B22" w14:paraId="2F0AD473" w14:textId="77777777" w:rsidTr="0039321F">
        <w:tc>
          <w:tcPr>
            <w:tcW w:w="703" w:type="dxa"/>
            <w:shd w:val="clear" w:color="auto" w:fill="FFFFFF"/>
            <w:vAlign w:val="center"/>
          </w:tcPr>
          <w:p w14:paraId="2A07CBB1" w14:textId="4CE1FFC2" w:rsidR="00F71050" w:rsidRPr="000B6B22" w:rsidRDefault="000F16AB">
            <w:pPr>
              <w:spacing w:before="0"/>
              <w:rPr>
                <w:rFonts w:ascii="Times New Roman" w:eastAsia="PMingLiU" w:hAnsi="Times New Roman"/>
                <w:sz w:val="24"/>
              </w:rPr>
            </w:pPr>
            <w:r>
              <w:rPr>
                <w:rFonts w:ascii="Times New Roman" w:hAnsi="Times New Roman"/>
                <w:sz w:val="24"/>
              </w:rPr>
              <w:t>0540</w:t>
            </w:r>
          </w:p>
        </w:tc>
        <w:tc>
          <w:tcPr>
            <w:tcW w:w="7371" w:type="dxa"/>
            <w:shd w:val="clear" w:color="auto" w:fill="FFFFFF"/>
          </w:tcPr>
          <w:p w14:paraId="081E182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1.4.1. Στοιχεία ενεργητικού επιπέδου 1 (εξαιρουμένων των ΕΥΠ καλυμμένων ομολόγων)</w:t>
            </w:r>
          </w:p>
          <w:p w14:paraId="52C01C4F" w14:textId="7CF22665"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sz w:val="24"/>
              </w:rPr>
              <w:t>Συναλλαγές κατά τις οποίες το ίδρυμα έχει ανταλλάξει τίτλους από τιτλοποίηση επιπέδου 2Β (στεγαστικά δάνεια ή δάνεια αγοράς αυτοκινήτου, ΒΠΠ1) (που παρέχονται ως δάνειο) με στοιχεία ενεργητικού επιπέδου 1 εξαιρουμένων των ΕΥΠ καλυμμένων ομολόγων (που λαμβάνονται ως δάνειο).</w:t>
            </w:r>
          </w:p>
        </w:tc>
      </w:tr>
      <w:tr w:rsidR="00B47B7D" w:rsidRPr="000B6B22" w14:paraId="6BB5E33A" w14:textId="77777777" w:rsidTr="0039321F">
        <w:tc>
          <w:tcPr>
            <w:tcW w:w="703" w:type="dxa"/>
            <w:shd w:val="clear" w:color="auto" w:fill="FFFFFF"/>
            <w:vAlign w:val="center"/>
          </w:tcPr>
          <w:p w14:paraId="4D84F9C5" w14:textId="151D8880" w:rsidR="00F71050" w:rsidRPr="000B6B22" w:rsidRDefault="000F16AB">
            <w:pPr>
              <w:spacing w:before="0"/>
              <w:rPr>
                <w:rFonts w:ascii="Times New Roman" w:eastAsia="PMingLiU" w:hAnsi="Times New Roman"/>
                <w:sz w:val="24"/>
              </w:rPr>
            </w:pPr>
            <w:r>
              <w:rPr>
                <w:rFonts w:ascii="Times New Roman" w:hAnsi="Times New Roman"/>
                <w:sz w:val="24"/>
              </w:rPr>
              <w:t>0550</w:t>
            </w:r>
          </w:p>
        </w:tc>
        <w:tc>
          <w:tcPr>
            <w:tcW w:w="7371" w:type="dxa"/>
            <w:shd w:val="clear" w:color="auto" w:fill="FFFFFF"/>
          </w:tcPr>
          <w:p w14:paraId="016EEB0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1.4.1.1. Των οποίων οι εξασφαλίσεις που ανταλλάσσονται πληρούν τις λειτουργικές απαιτήσεις</w:t>
            </w:r>
          </w:p>
          <w:p w14:paraId="49074A5E" w14:textId="70B7FCE1"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1.4.1. τα πιστωτικά ιδρύματα αναφέρουν:</w:t>
            </w:r>
          </w:p>
          <w:p w14:paraId="637CF550" w14:textId="5D6D3E3F" w:rsidR="00F71050" w:rsidRPr="00F3662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παρέχεται ως δάνειο το οποίο,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4BDCABC1" w14:textId="42F9D02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552437E4" w14:textId="77777777" w:rsidTr="0039321F">
        <w:tc>
          <w:tcPr>
            <w:tcW w:w="703" w:type="dxa"/>
            <w:shd w:val="clear" w:color="auto" w:fill="FFFFFF"/>
            <w:vAlign w:val="center"/>
          </w:tcPr>
          <w:p w14:paraId="3BDB194A" w14:textId="290A53DE" w:rsidR="00F71050" w:rsidRPr="000B6B22" w:rsidRDefault="000F16AB">
            <w:pPr>
              <w:spacing w:before="0"/>
              <w:rPr>
                <w:rFonts w:ascii="Times New Roman" w:eastAsia="PMingLiU" w:hAnsi="Times New Roman"/>
                <w:sz w:val="24"/>
              </w:rPr>
            </w:pPr>
            <w:r>
              <w:rPr>
                <w:rFonts w:ascii="Times New Roman" w:hAnsi="Times New Roman"/>
                <w:sz w:val="24"/>
              </w:rPr>
              <w:t>0560</w:t>
            </w:r>
          </w:p>
        </w:tc>
        <w:tc>
          <w:tcPr>
            <w:tcW w:w="7371" w:type="dxa"/>
            <w:shd w:val="clear" w:color="auto" w:fill="FFFFFF"/>
          </w:tcPr>
          <w:p w14:paraId="5F65F10A"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1.4.2. Επιπέδου 1 εξαιρετικά υψηλής ποιότητας καλυμμένα ομόλογα</w:t>
            </w:r>
          </w:p>
          <w:p w14:paraId="3CD86840" w14:textId="45A571C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Συναλλαγές κατά τις οποίες το ίδρυμα έχει ανταλλάξει τίτλους από τιτλοποίηση επιπέδου 2Β (στεγαστικά δάνεια ή δάνεια αγοράς αυτοκινήτου, ΒΠΠ1) (που παρέχονται ως δάνειο) με επιπέδου 1 εξαιρετικά υψηλής ποιότητας καλυμμένα ομόλογα (που λαμβάνονται ως δάνειο).</w:t>
            </w:r>
          </w:p>
        </w:tc>
      </w:tr>
      <w:tr w:rsidR="00B47B7D" w:rsidRPr="000B6B22" w14:paraId="0E21FA2D" w14:textId="77777777" w:rsidTr="0039321F">
        <w:tc>
          <w:tcPr>
            <w:tcW w:w="703" w:type="dxa"/>
            <w:shd w:val="clear" w:color="auto" w:fill="FFFFFF"/>
            <w:vAlign w:val="center"/>
          </w:tcPr>
          <w:p w14:paraId="6980FB18" w14:textId="0C403C6D" w:rsidR="00F71050" w:rsidRPr="000B6B22" w:rsidRDefault="000F16AB">
            <w:pPr>
              <w:spacing w:before="0"/>
              <w:rPr>
                <w:rFonts w:ascii="Times New Roman" w:eastAsia="PMingLiU" w:hAnsi="Times New Roman"/>
                <w:sz w:val="24"/>
              </w:rPr>
            </w:pPr>
            <w:r>
              <w:rPr>
                <w:rFonts w:ascii="Times New Roman" w:hAnsi="Times New Roman"/>
                <w:sz w:val="24"/>
              </w:rPr>
              <w:lastRenderedPageBreak/>
              <w:t>0570</w:t>
            </w:r>
          </w:p>
        </w:tc>
        <w:tc>
          <w:tcPr>
            <w:tcW w:w="7371" w:type="dxa"/>
            <w:shd w:val="clear" w:color="auto" w:fill="FFFFFF"/>
          </w:tcPr>
          <w:p w14:paraId="142DBCA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1.4.2.1. Των οποίων οι εξασφαλίσεις που ανταλλάσσονται πληρούν τις λειτουργικές απαιτήσεις</w:t>
            </w:r>
          </w:p>
          <w:p w14:paraId="2231B593" w14:textId="165C5824"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1.4.2. τα πιστωτικά ιδρύματα αναφέρουν:</w:t>
            </w:r>
          </w:p>
          <w:p w14:paraId="36664905" w14:textId="5AA06F7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παρέχεται ως δάνειο το οποίο,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6934154C" w14:textId="770B1D9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2B9BEAA0" w14:textId="77777777" w:rsidTr="0039321F">
        <w:tc>
          <w:tcPr>
            <w:tcW w:w="703" w:type="dxa"/>
            <w:shd w:val="clear" w:color="auto" w:fill="FFFFFF"/>
            <w:vAlign w:val="center"/>
          </w:tcPr>
          <w:p w14:paraId="48874399" w14:textId="175ACDBC" w:rsidR="00F71050" w:rsidRPr="000B6B22" w:rsidRDefault="000F16AB">
            <w:pPr>
              <w:spacing w:before="0"/>
              <w:rPr>
                <w:rFonts w:ascii="Times New Roman" w:eastAsia="PMingLiU" w:hAnsi="Times New Roman"/>
                <w:sz w:val="24"/>
              </w:rPr>
            </w:pPr>
            <w:r>
              <w:rPr>
                <w:rFonts w:ascii="Times New Roman" w:hAnsi="Times New Roman"/>
                <w:sz w:val="24"/>
              </w:rPr>
              <w:t>0580</w:t>
            </w:r>
          </w:p>
        </w:tc>
        <w:tc>
          <w:tcPr>
            <w:tcW w:w="7371" w:type="dxa"/>
            <w:shd w:val="clear" w:color="auto" w:fill="FFFFFF"/>
          </w:tcPr>
          <w:p w14:paraId="13B556DF" w14:textId="007BD19A"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1.4.3. Στοιχεία ενεργητικού επιπέδου 2Α</w:t>
            </w:r>
          </w:p>
          <w:p w14:paraId="5B0A0CDA" w14:textId="7FCE690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τίτλους από τιτλοποίηση επιπέδου 2Β (στεγαστικά δάνεια ή δάνεια αγοράς αυτοκινήτου, ΒΠΠ1) (που παρέχονται ως δάνειο) με στοιχεία ενεργητικού επιπέδου 2Α (που λαμβάνονται ως δάνειο).</w:t>
            </w:r>
          </w:p>
        </w:tc>
      </w:tr>
      <w:tr w:rsidR="00B47B7D" w:rsidRPr="000B6B22" w14:paraId="5C32A350" w14:textId="77777777" w:rsidTr="0039321F">
        <w:tc>
          <w:tcPr>
            <w:tcW w:w="703" w:type="dxa"/>
            <w:shd w:val="clear" w:color="auto" w:fill="FFFFFF"/>
            <w:vAlign w:val="center"/>
          </w:tcPr>
          <w:p w14:paraId="1784D764" w14:textId="11935840" w:rsidR="00F71050" w:rsidRPr="000B6B22" w:rsidRDefault="000F16AB">
            <w:pPr>
              <w:spacing w:before="0"/>
              <w:rPr>
                <w:rFonts w:ascii="Times New Roman" w:eastAsia="PMingLiU" w:hAnsi="Times New Roman"/>
                <w:sz w:val="24"/>
              </w:rPr>
            </w:pPr>
            <w:r>
              <w:rPr>
                <w:rFonts w:ascii="Times New Roman" w:hAnsi="Times New Roman"/>
                <w:sz w:val="24"/>
              </w:rPr>
              <w:t>0590</w:t>
            </w:r>
          </w:p>
        </w:tc>
        <w:tc>
          <w:tcPr>
            <w:tcW w:w="7371" w:type="dxa"/>
            <w:shd w:val="clear" w:color="auto" w:fill="FFFFFF"/>
          </w:tcPr>
          <w:p w14:paraId="5E47D3F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1.4.3.1. Των οποίων οι εξασφαλίσεις που ανταλλάσσονται πληρούν τις λειτουργικές απαιτήσεις</w:t>
            </w:r>
          </w:p>
          <w:p w14:paraId="402D5547" w14:textId="2F4E1B3D"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1.4.3. τα πιστωτικά ιδρύματα αναφέρουν:</w:t>
            </w:r>
          </w:p>
          <w:p w14:paraId="34F065E5" w14:textId="73CBC80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παρέχεται ως δάνειο το οποίο,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67E1CAEC" w14:textId="2CA0C0A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37740BAE" w14:textId="77777777" w:rsidTr="0039321F">
        <w:tc>
          <w:tcPr>
            <w:tcW w:w="703" w:type="dxa"/>
            <w:shd w:val="clear" w:color="auto" w:fill="FFFFFF"/>
            <w:vAlign w:val="center"/>
          </w:tcPr>
          <w:p w14:paraId="1DB01D44" w14:textId="5CAD5681" w:rsidR="00F71050" w:rsidRPr="000B6B22" w:rsidRDefault="000F16AB">
            <w:pPr>
              <w:spacing w:before="0"/>
              <w:rPr>
                <w:rFonts w:ascii="Times New Roman" w:eastAsia="PMingLiU" w:hAnsi="Times New Roman"/>
                <w:sz w:val="24"/>
              </w:rPr>
            </w:pPr>
            <w:r>
              <w:rPr>
                <w:rFonts w:ascii="Times New Roman" w:hAnsi="Times New Roman"/>
                <w:sz w:val="24"/>
              </w:rPr>
              <w:t>0600</w:t>
            </w:r>
          </w:p>
        </w:tc>
        <w:tc>
          <w:tcPr>
            <w:tcW w:w="7371" w:type="dxa"/>
            <w:shd w:val="clear" w:color="auto" w:fill="FFFFFF"/>
          </w:tcPr>
          <w:p w14:paraId="500ECDD5" w14:textId="2E0C577C"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1.4.4. Επιπέδου 2Β τίτλοι από τιτλοποίηση (στεγαστικά δάνεια ή δάνεια για αγορά αυτοκινήτου, ΒΠΠ1)</w:t>
            </w:r>
          </w:p>
          <w:p w14:paraId="59D40FEE" w14:textId="4921A5F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τίτλους από τιτλοποίηση επιπέδου 2Β (στεγαστικά δάνεια ή δάνεια αγοράς αυτοκινήτου, ΒΠΠ1) (που παρέχονται ως δάνειο) με τίτλους από τιτλοποίηση επιπέδου 2Β (στεγαστικά δάνεια ή δάνεια αγοράς αυτοκινήτου, ΒΠΠ1) (που λαμβάνονται ως δάνειο).</w:t>
            </w:r>
          </w:p>
        </w:tc>
      </w:tr>
      <w:tr w:rsidR="00B47B7D" w:rsidRPr="000B6B22" w14:paraId="6F9158C5" w14:textId="77777777" w:rsidTr="0039321F">
        <w:tc>
          <w:tcPr>
            <w:tcW w:w="703" w:type="dxa"/>
            <w:shd w:val="clear" w:color="auto" w:fill="FFFFFF"/>
            <w:vAlign w:val="center"/>
          </w:tcPr>
          <w:p w14:paraId="79F0F377" w14:textId="00DC891B" w:rsidR="00F71050" w:rsidRPr="000B6B22" w:rsidRDefault="000F16AB">
            <w:pPr>
              <w:spacing w:before="0"/>
              <w:rPr>
                <w:rFonts w:ascii="Times New Roman" w:eastAsia="PMingLiU" w:hAnsi="Times New Roman"/>
                <w:sz w:val="24"/>
              </w:rPr>
            </w:pPr>
            <w:r>
              <w:rPr>
                <w:rFonts w:ascii="Times New Roman" w:hAnsi="Times New Roman"/>
                <w:sz w:val="24"/>
              </w:rPr>
              <w:t>0610</w:t>
            </w:r>
          </w:p>
        </w:tc>
        <w:tc>
          <w:tcPr>
            <w:tcW w:w="7371" w:type="dxa"/>
            <w:shd w:val="clear" w:color="auto" w:fill="FFFFFF"/>
          </w:tcPr>
          <w:p w14:paraId="2BB9139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1.4.4.1. Των οποίων οι εξασφαλίσεις που ανταλλάσσονται πληρούν τις λειτουργικές απαιτήσεις</w:t>
            </w:r>
          </w:p>
          <w:p w14:paraId="6188E3CC" w14:textId="1F0BD5D7"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1.4.4. τα πιστωτικά ιδρύματα αναφέρουν:</w:t>
            </w:r>
          </w:p>
          <w:p w14:paraId="6F6E38FA" w14:textId="0D39ADD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το σκέλος της εξασφάλισης που παρέχεται ως δάνειο το οποίο, αν δεν χρησιμοποιούνταν ως εξασφάλιση των εν λόγω συναλλαγών, θα μπορούσε </w:t>
            </w:r>
            <w:r>
              <w:rPr>
                <w:rFonts w:ascii="Times New Roman" w:hAnsi="Times New Roman"/>
                <w:sz w:val="24"/>
              </w:rPr>
              <w:lastRenderedPageBreak/>
              <w:t>να θεωρηθεί, σύμφωνα με το άρθρο 8 του κατ’ εξουσιοδότηση κανονισμού (ΕΕ) 2015/61, ως ρευστό στοιχείο ενεργητικού· και</w:t>
            </w:r>
          </w:p>
          <w:p w14:paraId="7043AEAF" w14:textId="2AE7FD4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4EFA0AA1" w14:textId="77777777" w:rsidTr="0039321F">
        <w:tc>
          <w:tcPr>
            <w:tcW w:w="703" w:type="dxa"/>
            <w:shd w:val="clear" w:color="auto" w:fill="FFFFFF"/>
            <w:vAlign w:val="center"/>
          </w:tcPr>
          <w:p w14:paraId="36077EAB" w14:textId="2784760D" w:rsidR="00F71050" w:rsidRPr="000B6B22" w:rsidRDefault="000F16AB">
            <w:pPr>
              <w:spacing w:before="0"/>
              <w:rPr>
                <w:rFonts w:ascii="Times New Roman" w:eastAsia="PMingLiU" w:hAnsi="Times New Roman"/>
                <w:sz w:val="24"/>
              </w:rPr>
            </w:pPr>
            <w:r>
              <w:rPr>
                <w:rFonts w:ascii="Times New Roman" w:hAnsi="Times New Roman"/>
                <w:sz w:val="24"/>
              </w:rPr>
              <w:lastRenderedPageBreak/>
              <w:t>0620</w:t>
            </w:r>
          </w:p>
        </w:tc>
        <w:tc>
          <w:tcPr>
            <w:tcW w:w="7371" w:type="dxa"/>
            <w:shd w:val="clear" w:color="auto" w:fill="FFFFFF"/>
          </w:tcPr>
          <w:p w14:paraId="23DB941C" w14:textId="20ED11EC"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1.4.5. Επιπέδου 2Β υψηλής ποιότητας καλυμμένα ομόλογα</w:t>
            </w:r>
          </w:p>
          <w:p w14:paraId="2602A82A" w14:textId="2CDA4E2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τίτλους από τιτλοποίηση επιπέδου 2Β (στεγαστικά δάνεια ή δάνεια αγοράς αυτοκινήτου, ΒΠΠ1) (που παρέχονται ως δάνειο) με υψηλής ποιότητας καλυμμένα ομόλογα επιπέδου 2Β (που λαμβάνονται ως δάνειο).</w:t>
            </w:r>
          </w:p>
        </w:tc>
      </w:tr>
      <w:tr w:rsidR="00B47B7D" w:rsidRPr="000B6B22" w14:paraId="6FA29643" w14:textId="77777777" w:rsidTr="0039321F">
        <w:tc>
          <w:tcPr>
            <w:tcW w:w="703" w:type="dxa"/>
            <w:shd w:val="clear" w:color="auto" w:fill="FFFFFF"/>
            <w:vAlign w:val="center"/>
          </w:tcPr>
          <w:p w14:paraId="6976A53E" w14:textId="1FB18EC4" w:rsidR="00F71050" w:rsidRPr="000B6B22" w:rsidRDefault="000F16AB">
            <w:pPr>
              <w:spacing w:before="0"/>
              <w:rPr>
                <w:rFonts w:ascii="Times New Roman" w:eastAsia="PMingLiU" w:hAnsi="Times New Roman"/>
                <w:sz w:val="24"/>
              </w:rPr>
            </w:pPr>
            <w:r>
              <w:rPr>
                <w:rFonts w:ascii="Times New Roman" w:hAnsi="Times New Roman"/>
                <w:sz w:val="24"/>
              </w:rPr>
              <w:t>0630</w:t>
            </w:r>
          </w:p>
        </w:tc>
        <w:tc>
          <w:tcPr>
            <w:tcW w:w="7371" w:type="dxa"/>
            <w:shd w:val="clear" w:color="auto" w:fill="FFFFFF"/>
          </w:tcPr>
          <w:p w14:paraId="07AE24C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1.4.5.1. Των οποίων οι εξασφαλίσεις που ανταλλάσσονται πληρούν τις λειτουργικές απαιτήσεις</w:t>
            </w:r>
          </w:p>
          <w:p w14:paraId="6155315E" w14:textId="021B020B"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1.4.5. τα πιστωτικά ιδρύματα αναφέρουν:</w:t>
            </w:r>
          </w:p>
          <w:p w14:paraId="579978A3" w14:textId="2F231B2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παρέχεται ως δάνειο το οποίο,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2DECC732" w14:textId="4DF3FC4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536FFCDE" w14:textId="77777777" w:rsidTr="0039321F">
        <w:tc>
          <w:tcPr>
            <w:tcW w:w="703" w:type="dxa"/>
            <w:shd w:val="clear" w:color="auto" w:fill="FFFFFF"/>
            <w:vAlign w:val="center"/>
          </w:tcPr>
          <w:p w14:paraId="4B6B8505" w14:textId="79BEC376" w:rsidR="00F71050" w:rsidRPr="000B6B22" w:rsidRDefault="000F16AB">
            <w:pPr>
              <w:spacing w:before="0"/>
              <w:rPr>
                <w:rFonts w:ascii="Times New Roman" w:eastAsia="PMingLiU" w:hAnsi="Times New Roman"/>
                <w:sz w:val="24"/>
              </w:rPr>
            </w:pPr>
            <w:r>
              <w:rPr>
                <w:rFonts w:ascii="Times New Roman" w:hAnsi="Times New Roman"/>
                <w:sz w:val="24"/>
              </w:rPr>
              <w:t>0640</w:t>
            </w:r>
          </w:p>
        </w:tc>
        <w:tc>
          <w:tcPr>
            <w:tcW w:w="7371" w:type="dxa"/>
            <w:shd w:val="clear" w:color="auto" w:fill="FFFFFF"/>
          </w:tcPr>
          <w:p w14:paraId="48D8F026" w14:textId="2422747B"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1.4.6. Επιπέδου 2Β τίτλοι από τιτλοποίηση (εμπορικά δάνεια ή δάνεια σε ιδιώτες, κράτος μέλος, ΒΠΠ1)</w:t>
            </w:r>
          </w:p>
          <w:p w14:paraId="1E6CEA94" w14:textId="73C28F2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τίτλους από τιτλοποίηση επιπέδου 2Β (στεγαστικά δάνεια ή δάνεια αγοράς αυτοκινήτου, ΒΠΠ1) (που παρέχονται ως δάνειο) με τίτλους από τιτλοποίηση επιπέδου 2Β (εμπορικά δάνεια ή δάνεια σε ιδιώτες, κράτος μέλος, ΒΠΠ1) (που λαμβάνονται ως δάνειο).</w:t>
            </w:r>
          </w:p>
        </w:tc>
      </w:tr>
      <w:tr w:rsidR="00B47B7D" w:rsidRPr="000B6B22" w14:paraId="36AE3B84" w14:textId="77777777" w:rsidTr="0039321F">
        <w:tc>
          <w:tcPr>
            <w:tcW w:w="703" w:type="dxa"/>
            <w:shd w:val="clear" w:color="auto" w:fill="FFFFFF"/>
            <w:vAlign w:val="center"/>
          </w:tcPr>
          <w:p w14:paraId="0A44A6F8" w14:textId="265D8EA7" w:rsidR="00F71050" w:rsidRPr="000B6B22" w:rsidRDefault="000F16AB">
            <w:pPr>
              <w:spacing w:before="0"/>
              <w:rPr>
                <w:rFonts w:ascii="Times New Roman" w:eastAsia="PMingLiU" w:hAnsi="Times New Roman"/>
                <w:sz w:val="24"/>
              </w:rPr>
            </w:pPr>
            <w:r>
              <w:rPr>
                <w:rFonts w:ascii="Times New Roman" w:hAnsi="Times New Roman"/>
                <w:sz w:val="24"/>
              </w:rPr>
              <w:t>0650</w:t>
            </w:r>
          </w:p>
        </w:tc>
        <w:tc>
          <w:tcPr>
            <w:tcW w:w="7371" w:type="dxa"/>
            <w:shd w:val="clear" w:color="auto" w:fill="FFFFFF"/>
          </w:tcPr>
          <w:p w14:paraId="06C6352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1.4.6.1. Των οποίων οι εξασφαλίσεις που ανταλλάσσονται πληρούν τις λειτουργικές απαιτήσεις</w:t>
            </w:r>
          </w:p>
          <w:p w14:paraId="31943F7B" w14:textId="09FABCEA"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1.4.6. τα πιστωτικά ιδρύματα αναφέρουν:</w:t>
            </w:r>
          </w:p>
          <w:p w14:paraId="7B7840F3" w14:textId="732E064A"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παρέχεται ως δάνειο το οποίο,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4C676C30" w14:textId="47B4484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3CEAD5EE" w14:textId="77777777" w:rsidTr="0039321F">
        <w:tc>
          <w:tcPr>
            <w:tcW w:w="703" w:type="dxa"/>
            <w:shd w:val="clear" w:color="auto" w:fill="FFFFFF"/>
            <w:vAlign w:val="center"/>
          </w:tcPr>
          <w:p w14:paraId="552DF4C5" w14:textId="6E365370" w:rsidR="00F71050" w:rsidRPr="000B6B22" w:rsidRDefault="000F16AB">
            <w:pPr>
              <w:spacing w:before="0"/>
              <w:rPr>
                <w:rFonts w:ascii="Times New Roman" w:eastAsia="PMingLiU" w:hAnsi="Times New Roman"/>
                <w:sz w:val="24"/>
              </w:rPr>
            </w:pPr>
            <w:r>
              <w:rPr>
                <w:rFonts w:ascii="Times New Roman" w:hAnsi="Times New Roman"/>
                <w:sz w:val="24"/>
              </w:rPr>
              <w:t>0660</w:t>
            </w:r>
          </w:p>
        </w:tc>
        <w:tc>
          <w:tcPr>
            <w:tcW w:w="7371" w:type="dxa"/>
            <w:shd w:val="clear" w:color="auto" w:fill="FFFFFF"/>
          </w:tcPr>
          <w:p w14:paraId="1CFBE828" w14:textId="6A46C940"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1.4.7. Άλλα στοιχεία επιπέδου 2Β</w:t>
            </w:r>
          </w:p>
          <w:p w14:paraId="0B970D6D" w14:textId="762C118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τίτλους από τιτλοποίηση επιπέδου 2Β (στεγαστικά δάνεια ή δάνεια αγοράς αυτοκινήτου, ΒΠΠ1) (που παρέχονται ως δάνειο) με άλλα στοιχεία ενεργητικού επιπέδου 2Β (που λαμβάνονται ως δάνειο)</w:t>
            </w:r>
          </w:p>
        </w:tc>
      </w:tr>
      <w:tr w:rsidR="00B47B7D" w:rsidRPr="000B6B22" w14:paraId="13941043" w14:textId="77777777" w:rsidTr="0039321F">
        <w:tc>
          <w:tcPr>
            <w:tcW w:w="703" w:type="dxa"/>
            <w:shd w:val="clear" w:color="auto" w:fill="FFFFFF"/>
            <w:vAlign w:val="center"/>
          </w:tcPr>
          <w:p w14:paraId="181DE24E" w14:textId="352BE76D" w:rsidR="00F71050" w:rsidRPr="000B6B22" w:rsidRDefault="000F16AB">
            <w:pPr>
              <w:spacing w:before="0"/>
              <w:rPr>
                <w:rFonts w:ascii="Times New Roman" w:eastAsia="PMingLiU" w:hAnsi="Times New Roman"/>
                <w:sz w:val="24"/>
              </w:rPr>
            </w:pPr>
            <w:r>
              <w:rPr>
                <w:rFonts w:ascii="Times New Roman" w:hAnsi="Times New Roman"/>
                <w:sz w:val="24"/>
              </w:rPr>
              <w:lastRenderedPageBreak/>
              <w:t>0670</w:t>
            </w:r>
          </w:p>
        </w:tc>
        <w:tc>
          <w:tcPr>
            <w:tcW w:w="7371" w:type="dxa"/>
            <w:shd w:val="clear" w:color="auto" w:fill="FFFFFF"/>
          </w:tcPr>
          <w:p w14:paraId="4D7F91D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1.4.7.1. Των οποίων οι εξασφαλίσεις που ανταλλάσσονται πληρούν τις λειτουργικές απαιτήσεις</w:t>
            </w:r>
          </w:p>
          <w:p w14:paraId="407155FE" w14:textId="6E859053"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1.4.7. τα πιστωτικά ιδρύματα αναφέρουν:</w:t>
            </w:r>
          </w:p>
          <w:p w14:paraId="12CFF697" w14:textId="13A95CE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παρέχεται ως δάνειο το οποίο,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0E9209F1" w14:textId="635EFE1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55DA7CED" w14:textId="77777777" w:rsidTr="0039321F">
        <w:tc>
          <w:tcPr>
            <w:tcW w:w="703" w:type="dxa"/>
            <w:shd w:val="clear" w:color="auto" w:fill="FFFFFF"/>
            <w:vAlign w:val="center"/>
          </w:tcPr>
          <w:p w14:paraId="3240862D" w14:textId="7059FE43" w:rsidR="00F71050" w:rsidRPr="000B6B22" w:rsidRDefault="000F16AB">
            <w:pPr>
              <w:spacing w:before="0"/>
              <w:rPr>
                <w:rFonts w:ascii="Times New Roman" w:eastAsia="PMingLiU" w:hAnsi="Times New Roman"/>
                <w:sz w:val="24"/>
              </w:rPr>
            </w:pPr>
            <w:r>
              <w:rPr>
                <w:rFonts w:ascii="Times New Roman" w:hAnsi="Times New Roman"/>
                <w:sz w:val="24"/>
              </w:rPr>
              <w:t>0680</w:t>
            </w:r>
          </w:p>
        </w:tc>
        <w:tc>
          <w:tcPr>
            <w:tcW w:w="7371" w:type="dxa"/>
            <w:shd w:val="clear" w:color="auto" w:fill="FFFFFF"/>
          </w:tcPr>
          <w:p w14:paraId="706829C9"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1.4.8. Μη ρευστά στοιχεία ενεργητικού</w:t>
            </w:r>
          </w:p>
          <w:p w14:paraId="36A43D90" w14:textId="7FD72E3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τίτλους από τιτλοποίηση επιπέδου 2Β (στεγαστικά δάνεια ή δάνεια αγοράς αυτοκινήτου, ΒΠΠ1) (που παρέχονται ως δάνειο) με μη ρευστά στοιχεία ενεργητικού (που λαμβάνονται ως δάνειο)</w:t>
            </w:r>
          </w:p>
        </w:tc>
      </w:tr>
      <w:tr w:rsidR="00B47B7D" w:rsidRPr="000B6B22" w14:paraId="7DDFC4FE" w14:textId="77777777" w:rsidTr="0039321F">
        <w:tc>
          <w:tcPr>
            <w:tcW w:w="703" w:type="dxa"/>
            <w:shd w:val="clear" w:color="auto" w:fill="auto"/>
            <w:vAlign w:val="center"/>
          </w:tcPr>
          <w:p w14:paraId="39F7721B" w14:textId="477C3CFC" w:rsidR="00F71050" w:rsidRPr="000B6B22" w:rsidRDefault="000F16AB">
            <w:pPr>
              <w:spacing w:before="0"/>
              <w:rPr>
                <w:rFonts w:ascii="Times New Roman" w:eastAsia="PMingLiU" w:hAnsi="Times New Roman"/>
                <w:sz w:val="24"/>
              </w:rPr>
            </w:pPr>
            <w:r>
              <w:rPr>
                <w:rFonts w:ascii="Times New Roman" w:hAnsi="Times New Roman"/>
                <w:sz w:val="24"/>
              </w:rPr>
              <w:t>0690</w:t>
            </w:r>
          </w:p>
        </w:tc>
        <w:tc>
          <w:tcPr>
            <w:tcW w:w="7371" w:type="dxa"/>
            <w:shd w:val="clear" w:color="auto" w:fill="auto"/>
          </w:tcPr>
          <w:p w14:paraId="64E13FC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1.4.8.1. Των οποίων οι εξασφαλίσεις που ανταλλάσσονται πληρούν τις λειτουργικές απαιτήσεις</w:t>
            </w:r>
          </w:p>
          <w:p w14:paraId="076D0EDC" w14:textId="7D14BA69"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Από τις συναλλαγές που αναφέρονται στο σημείο 1.4.8., τα πιστωτικά ιδρύματα αναφέρουν το σκέλος της εξασφάλισης που παρέχεται ως δάνειο το οποίο,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w:t>
            </w:r>
          </w:p>
        </w:tc>
      </w:tr>
      <w:tr w:rsidR="00B47B7D" w:rsidRPr="000B6B22" w14:paraId="00FC0C2E" w14:textId="77777777" w:rsidTr="0039321F">
        <w:tc>
          <w:tcPr>
            <w:tcW w:w="703" w:type="dxa"/>
            <w:shd w:val="clear" w:color="auto" w:fill="auto"/>
            <w:vAlign w:val="center"/>
          </w:tcPr>
          <w:p w14:paraId="0C953186" w14:textId="043C7813" w:rsidR="00F71050" w:rsidRPr="000B6B22" w:rsidRDefault="000F16AB">
            <w:pPr>
              <w:spacing w:before="0"/>
              <w:rPr>
                <w:rFonts w:ascii="Times New Roman" w:eastAsia="PMingLiU" w:hAnsi="Times New Roman"/>
                <w:sz w:val="24"/>
              </w:rPr>
            </w:pPr>
            <w:r>
              <w:rPr>
                <w:rFonts w:ascii="Times New Roman" w:hAnsi="Times New Roman"/>
                <w:sz w:val="24"/>
              </w:rPr>
              <w:t>0700</w:t>
            </w:r>
          </w:p>
        </w:tc>
        <w:tc>
          <w:tcPr>
            <w:tcW w:w="7371" w:type="dxa"/>
            <w:shd w:val="clear" w:color="auto" w:fill="auto"/>
          </w:tcPr>
          <w:p w14:paraId="52998ED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1.5. Σύνολα για συναλλαγές κατά τις οποίες: τα υψηλής ποιότητας καλυμμένα ομόλογα επιπέδου 2Β παρέχονται ως δάνειο και οι ακόλουθες εξασφαλίσεις λαμβάνονται ως δάνειο:</w:t>
            </w:r>
          </w:p>
          <w:p w14:paraId="2AA2145A" w14:textId="1F404475"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Άρθρο 28 παράγραφος 4 και άρθρο 32 παράγραφος 3 του κατ’ εξουσιοδότηση κανονισμού (ΕΕ) 2015/61</w:t>
            </w:r>
          </w:p>
          <w:p w14:paraId="66B676E5" w14:textId="2E450C0F"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Τα πιστωτικά ιδρύματα αναφέρουν εδώ, για τις σχετικές στήλες, τις συνολικές αξίες των πράξεων ανταλλαγής εξασφαλίσεων για συναλλαγές κατά τις οποίες υψηλής ποιότητας καλυμμένα ομόλογα επιπέδου 2Β παρέχονται ως δάνειο.</w:t>
            </w:r>
          </w:p>
        </w:tc>
      </w:tr>
      <w:tr w:rsidR="00B47B7D" w:rsidRPr="000B6B22" w14:paraId="519E74C1" w14:textId="77777777" w:rsidTr="0039321F">
        <w:tc>
          <w:tcPr>
            <w:tcW w:w="703" w:type="dxa"/>
            <w:shd w:val="clear" w:color="auto" w:fill="FFFFFF"/>
            <w:vAlign w:val="center"/>
          </w:tcPr>
          <w:p w14:paraId="606C0425" w14:textId="1ED7334B" w:rsidR="00F71050" w:rsidRPr="000B6B22" w:rsidRDefault="000F16AB">
            <w:pPr>
              <w:spacing w:before="0"/>
              <w:rPr>
                <w:rFonts w:ascii="Times New Roman" w:eastAsia="PMingLiU" w:hAnsi="Times New Roman"/>
                <w:sz w:val="24"/>
              </w:rPr>
            </w:pPr>
            <w:r>
              <w:rPr>
                <w:rFonts w:ascii="Times New Roman" w:hAnsi="Times New Roman"/>
                <w:sz w:val="24"/>
              </w:rPr>
              <w:t>0710</w:t>
            </w:r>
          </w:p>
        </w:tc>
        <w:tc>
          <w:tcPr>
            <w:tcW w:w="7371" w:type="dxa"/>
            <w:shd w:val="clear" w:color="auto" w:fill="FFFFFF"/>
          </w:tcPr>
          <w:p w14:paraId="2AE7EB9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1.5.1. Στοιχεία ενεργητικού επιπέδου 1 (εξαιρουμένων των ΕΥΠ καλυμμένων ομολόγων)</w:t>
            </w:r>
          </w:p>
          <w:p w14:paraId="52D507F0" w14:textId="29EC5A9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υψηλής ποιότητας καλυμμένα ομόλογα επιπέδου 2Β (που παρέχονται ως δάνειο) με στοιχεία ενεργητικού επιπέδου 1 εξαιρουμένων των ΕΥΠ καλυμμένων ομολόγων (που λαμβάνονται ως δάνειο).</w:t>
            </w:r>
          </w:p>
        </w:tc>
      </w:tr>
      <w:tr w:rsidR="00B47B7D" w:rsidRPr="000B6B22" w14:paraId="554A6ABC" w14:textId="77777777" w:rsidTr="0039321F">
        <w:tc>
          <w:tcPr>
            <w:tcW w:w="703" w:type="dxa"/>
            <w:shd w:val="clear" w:color="auto" w:fill="FFFFFF"/>
            <w:vAlign w:val="center"/>
          </w:tcPr>
          <w:p w14:paraId="46F1DF8A" w14:textId="40D7752D" w:rsidR="00F71050" w:rsidRPr="000B6B22" w:rsidRDefault="000F16AB">
            <w:pPr>
              <w:spacing w:before="0"/>
              <w:rPr>
                <w:rFonts w:ascii="Times New Roman" w:eastAsia="PMingLiU" w:hAnsi="Times New Roman"/>
                <w:sz w:val="24"/>
              </w:rPr>
            </w:pPr>
            <w:r>
              <w:rPr>
                <w:rFonts w:ascii="Times New Roman" w:hAnsi="Times New Roman"/>
                <w:sz w:val="24"/>
              </w:rPr>
              <w:t>0720</w:t>
            </w:r>
          </w:p>
        </w:tc>
        <w:tc>
          <w:tcPr>
            <w:tcW w:w="7371" w:type="dxa"/>
            <w:shd w:val="clear" w:color="auto" w:fill="FFFFFF"/>
          </w:tcPr>
          <w:p w14:paraId="4819794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1.5.1.1. Των οποίων οι εξασφαλίσεις που ανταλλάσσονται πληρούν τις λειτουργικές απαιτήσεις</w:t>
            </w:r>
          </w:p>
          <w:p w14:paraId="60208A9C" w14:textId="6B5D1798"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1.5.1. τα πιστωτικά ιδρύματα αναφέρουν:</w:t>
            </w:r>
          </w:p>
          <w:p w14:paraId="4F08CB9B" w14:textId="6D5F04E6"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το σκέλος της εξασφάλισης που παρέχεται ως δάνειο το οποίο, αν δεν χρησιμοποιούνταν ως εξασφάλιση των εν λόγω συναλλαγών, θα μπορούσε </w:t>
            </w:r>
            <w:r>
              <w:rPr>
                <w:rFonts w:ascii="Times New Roman" w:hAnsi="Times New Roman"/>
                <w:sz w:val="24"/>
              </w:rPr>
              <w:lastRenderedPageBreak/>
              <w:t>να θεωρηθεί, σύμφωνα με το άρθρο 8 του κατ’ εξουσιοδότηση κανονισμού (ΕΕ) 2015/61, ως ρευστό στοιχείο ενεργητικού· και</w:t>
            </w:r>
          </w:p>
          <w:p w14:paraId="50F800FB" w14:textId="714BCDE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45A34E72" w14:textId="77777777" w:rsidTr="0039321F">
        <w:tc>
          <w:tcPr>
            <w:tcW w:w="703" w:type="dxa"/>
            <w:shd w:val="clear" w:color="auto" w:fill="FFFFFF"/>
            <w:vAlign w:val="center"/>
          </w:tcPr>
          <w:p w14:paraId="22ED8810" w14:textId="24B70A47" w:rsidR="00F71050" w:rsidRPr="000B6B22" w:rsidRDefault="000F16AB">
            <w:pPr>
              <w:spacing w:before="0"/>
              <w:rPr>
                <w:rFonts w:ascii="Times New Roman" w:eastAsia="PMingLiU" w:hAnsi="Times New Roman"/>
                <w:sz w:val="24"/>
              </w:rPr>
            </w:pPr>
            <w:r>
              <w:rPr>
                <w:rFonts w:ascii="Times New Roman" w:hAnsi="Times New Roman"/>
                <w:sz w:val="24"/>
              </w:rPr>
              <w:lastRenderedPageBreak/>
              <w:t>0730</w:t>
            </w:r>
          </w:p>
        </w:tc>
        <w:tc>
          <w:tcPr>
            <w:tcW w:w="7371" w:type="dxa"/>
            <w:shd w:val="clear" w:color="auto" w:fill="FFFFFF"/>
          </w:tcPr>
          <w:p w14:paraId="72ACDD76" w14:textId="042836B3"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1.5.2. Επιπέδου 1 εξαιρετικά υψηλής ποιότητας καλυμμένα ομόλογα</w:t>
            </w:r>
          </w:p>
          <w:p w14:paraId="0D45B0FB" w14:textId="1362FF7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υψηλής ποιότητας καλυμμένα ομόλογα επιπέδου 2Β (που παρέχονται ως δάνειο) με εξαιρετικά υψηλής ποιότητας καλυμμένα ομόλογα επιπέδου 1 (που λαμβάνονται ως δάνειο)</w:t>
            </w:r>
          </w:p>
        </w:tc>
      </w:tr>
      <w:tr w:rsidR="00B47B7D" w:rsidRPr="000B6B22" w14:paraId="4339346F" w14:textId="77777777" w:rsidTr="0039321F">
        <w:tc>
          <w:tcPr>
            <w:tcW w:w="703" w:type="dxa"/>
            <w:shd w:val="clear" w:color="auto" w:fill="FFFFFF"/>
            <w:vAlign w:val="center"/>
          </w:tcPr>
          <w:p w14:paraId="25054D46" w14:textId="1D1211D9" w:rsidR="00F71050" w:rsidRPr="000B6B22" w:rsidRDefault="000F16AB">
            <w:pPr>
              <w:spacing w:before="0"/>
              <w:rPr>
                <w:rFonts w:ascii="Times New Roman" w:eastAsia="PMingLiU" w:hAnsi="Times New Roman"/>
                <w:sz w:val="24"/>
              </w:rPr>
            </w:pPr>
            <w:r>
              <w:rPr>
                <w:rFonts w:ascii="Times New Roman" w:hAnsi="Times New Roman"/>
                <w:sz w:val="24"/>
              </w:rPr>
              <w:t>0740</w:t>
            </w:r>
          </w:p>
        </w:tc>
        <w:tc>
          <w:tcPr>
            <w:tcW w:w="7371" w:type="dxa"/>
            <w:shd w:val="clear" w:color="auto" w:fill="FFFFFF"/>
          </w:tcPr>
          <w:p w14:paraId="5772327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1.5.2.1. Των οποίων οι εξασφαλίσεις που ανταλλάσσονται πληρούν τις λειτουργικές απαιτήσεις</w:t>
            </w:r>
          </w:p>
          <w:p w14:paraId="2EDAE391" w14:textId="0F89F9C1"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1.5.2. τα πιστωτικά ιδρύματα αναφέρουν:</w:t>
            </w:r>
          </w:p>
          <w:p w14:paraId="4A0CEC1F" w14:textId="57EEBB50"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παρέχεται ως δάνειο το οποίο,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4A3736AC" w14:textId="7C94D26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4D7C59D5" w14:textId="77777777" w:rsidTr="0039321F">
        <w:tc>
          <w:tcPr>
            <w:tcW w:w="703" w:type="dxa"/>
            <w:shd w:val="clear" w:color="auto" w:fill="FFFFFF"/>
            <w:vAlign w:val="center"/>
          </w:tcPr>
          <w:p w14:paraId="049D58E6" w14:textId="59437351" w:rsidR="00F71050" w:rsidRPr="000B6B22" w:rsidRDefault="000F16AB">
            <w:pPr>
              <w:spacing w:before="0"/>
              <w:rPr>
                <w:rFonts w:ascii="Times New Roman" w:eastAsia="PMingLiU" w:hAnsi="Times New Roman"/>
                <w:sz w:val="24"/>
              </w:rPr>
            </w:pPr>
            <w:r>
              <w:rPr>
                <w:rFonts w:ascii="Times New Roman" w:hAnsi="Times New Roman"/>
                <w:sz w:val="24"/>
              </w:rPr>
              <w:t>0750</w:t>
            </w:r>
          </w:p>
        </w:tc>
        <w:tc>
          <w:tcPr>
            <w:tcW w:w="7371" w:type="dxa"/>
            <w:shd w:val="clear" w:color="auto" w:fill="FFFFFF"/>
          </w:tcPr>
          <w:p w14:paraId="2368297A"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1.5.3. Στοιχεία ενεργητικού επιπέδου 2Α</w:t>
            </w:r>
          </w:p>
          <w:p w14:paraId="3DCF1C45" w14:textId="17078E1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υψηλής ποιότητας καλυμμένα ομόλογα επιπέδου 2Β (που παρέχονται ως δάνειο) με στοιχεία ενεργητικού επιπέδου 2Α (που λαμβάνονται ως δάνειο)</w:t>
            </w:r>
          </w:p>
        </w:tc>
      </w:tr>
      <w:tr w:rsidR="00B47B7D" w:rsidRPr="000B6B22" w14:paraId="7C28E28D" w14:textId="77777777" w:rsidTr="0039321F">
        <w:tc>
          <w:tcPr>
            <w:tcW w:w="703" w:type="dxa"/>
            <w:shd w:val="clear" w:color="auto" w:fill="FFFFFF"/>
            <w:vAlign w:val="center"/>
          </w:tcPr>
          <w:p w14:paraId="368F2742" w14:textId="0BABE131" w:rsidR="00F71050" w:rsidRPr="000B6B22" w:rsidRDefault="000F16AB">
            <w:pPr>
              <w:spacing w:before="0"/>
              <w:rPr>
                <w:rFonts w:ascii="Times New Roman" w:eastAsia="PMingLiU" w:hAnsi="Times New Roman"/>
                <w:sz w:val="24"/>
              </w:rPr>
            </w:pPr>
            <w:r>
              <w:rPr>
                <w:rFonts w:ascii="Times New Roman" w:hAnsi="Times New Roman"/>
                <w:sz w:val="24"/>
              </w:rPr>
              <w:t>0760</w:t>
            </w:r>
          </w:p>
        </w:tc>
        <w:tc>
          <w:tcPr>
            <w:tcW w:w="7371" w:type="dxa"/>
            <w:shd w:val="clear" w:color="auto" w:fill="FFFFFF"/>
          </w:tcPr>
          <w:p w14:paraId="2CE1D18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1.5.3.1. Των οποίων οι εξασφαλίσεις που ανταλλάσσονται πληρούν τις λειτουργικές απαιτήσεις</w:t>
            </w:r>
          </w:p>
          <w:p w14:paraId="2D7B01FA" w14:textId="46276B29"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1.5.3. τα πιστωτικά ιδρύματα αναφέρουν:</w:t>
            </w:r>
          </w:p>
          <w:p w14:paraId="36AF9450" w14:textId="768D336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παρέχεται ως δάνειο το οποίο,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7E076133" w14:textId="17E1C2E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2EB1A264" w14:textId="77777777" w:rsidTr="0039321F">
        <w:tc>
          <w:tcPr>
            <w:tcW w:w="703" w:type="dxa"/>
            <w:shd w:val="clear" w:color="auto" w:fill="FFFFFF"/>
            <w:vAlign w:val="center"/>
          </w:tcPr>
          <w:p w14:paraId="47883355" w14:textId="5BEAC474" w:rsidR="00F71050" w:rsidRPr="000B6B22" w:rsidRDefault="000F16AB">
            <w:pPr>
              <w:spacing w:before="0"/>
              <w:rPr>
                <w:rFonts w:ascii="Times New Roman" w:eastAsia="PMingLiU" w:hAnsi="Times New Roman"/>
                <w:sz w:val="24"/>
              </w:rPr>
            </w:pPr>
            <w:r>
              <w:rPr>
                <w:rFonts w:ascii="Times New Roman" w:hAnsi="Times New Roman"/>
                <w:sz w:val="24"/>
              </w:rPr>
              <w:t>0770</w:t>
            </w:r>
          </w:p>
        </w:tc>
        <w:tc>
          <w:tcPr>
            <w:tcW w:w="7371" w:type="dxa"/>
            <w:shd w:val="clear" w:color="auto" w:fill="FFFFFF"/>
          </w:tcPr>
          <w:p w14:paraId="054BE224" w14:textId="4AFF99AC"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1.5.4. Επιπέδου 2Β τίτλοι από τιτλοποίηση (στεγαστικά δάνεια ή δάνεια για αγορά αυτοκινήτου, ΒΠΠ1)</w:t>
            </w:r>
          </w:p>
          <w:p w14:paraId="6A072209" w14:textId="709F8D2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υψηλής ποιότητας καλυμμένα ομόλογα επιπέδου 2Β (που παρέχονται ως δάνειο) με τίτλους από τιτλοποίηση επιπέδου 2Β (στεγαστικά δάνεια ή δάνεια αγοράς αυτοκινήτου, ΒΠΠ1) (που λαμβάνονται ως δάνειο)</w:t>
            </w:r>
          </w:p>
        </w:tc>
      </w:tr>
      <w:tr w:rsidR="00B47B7D" w:rsidRPr="000B6B22" w14:paraId="210E29FE" w14:textId="77777777" w:rsidTr="0039321F">
        <w:tc>
          <w:tcPr>
            <w:tcW w:w="703" w:type="dxa"/>
            <w:shd w:val="clear" w:color="auto" w:fill="FFFFFF"/>
            <w:vAlign w:val="center"/>
          </w:tcPr>
          <w:p w14:paraId="6FAF981D" w14:textId="587F840F" w:rsidR="00F71050" w:rsidRPr="000B6B22" w:rsidRDefault="000F16AB">
            <w:pPr>
              <w:spacing w:before="0"/>
              <w:rPr>
                <w:rFonts w:ascii="Times New Roman" w:eastAsia="PMingLiU" w:hAnsi="Times New Roman"/>
                <w:sz w:val="24"/>
              </w:rPr>
            </w:pPr>
            <w:r>
              <w:rPr>
                <w:rFonts w:ascii="Times New Roman" w:hAnsi="Times New Roman"/>
                <w:sz w:val="24"/>
              </w:rPr>
              <w:lastRenderedPageBreak/>
              <w:t>0780</w:t>
            </w:r>
          </w:p>
        </w:tc>
        <w:tc>
          <w:tcPr>
            <w:tcW w:w="7371" w:type="dxa"/>
            <w:shd w:val="clear" w:color="auto" w:fill="FFFFFF"/>
          </w:tcPr>
          <w:p w14:paraId="3E6B7CC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1.5.4.1. Των οποίων οι εξασφαλίσεις που ανταλλάσσονται πληρούν τις λειτουργικές απαιτήσεις</w:t>
            </w:r>
          </w:p>
          <w:p w14:paraId="5B009339" w14:textId="1B1D8C96"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1.5.4. τα πιστωτικά ιδρύματα αναφέρουν:</w:t>
            </w:r>
          </w:p>
          <w:p w14:paraId="2BAE0C0D" w14:textId="6D11506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παρέχεται ως δάνειο το οποίο,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4AB87285" w14:textId="33F79AC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75E89D50" w14:textId="77777777" w:rsidTr="0039321F">
        <w:tc>
          <w:tcPr>
            <w:tcW w:w="703" w:type="dxa"/>
            <w:shd w:val="clear" w:color="auto" w:fill="FFFFFF"/>
            <w:vAlign w:val="center"/>
          </w:tcPr>
          <w:p w14:paraId="376DA84D" w14:textId="2EFA1F33" w:rsidR="00F71050" w:rsidRPr="000B6B22" w:rsidRDefault="000F16AB">
            <w:pPr>
              <w:spacing w:before="0"/>
              <w:rPr>
                <w:rFonts w:ascii="Times New Roman" w:eastAsia="PMingLiU" w:hAnsi="Times New Roman"/>
                <w:sz w:val="24"/>
              </w:rPr>
            </w:pPr>
            <w:r>
              <w:rPr>
                <w:rFonts w:ascii="Times New Roman" w:hAnsi="Times New Roman"/>
                <w:sz w:val="24"/>
              </w:rPr>
              <w:t>0790</w:t>
            </w:r>
          </w:p>
        </w:tc>
        <w:tc>
          <w:tcPr>
            <w:tcW w:w="7371" w:type="dxa"/>
            <w:shd w:val="clear" w:color="auto" w:fill="FFFFFF"/>
          </w:tcPr>
          <w:p w14:paraId="621D5047" w14:textId="3CFA0E13"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1.5.5. Επιπέδου 2Β υψηλής ποιότητας καλυμμένα ομόλογα</w:t>
            </w:r>
          </w:p>
          <w:p w14:paraId="4FFB473C" w14:textId="33DCC83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υψηλής ποιότητας καλυμμένα ομόλογα επιπέδου 2Β (που παρέχονται ως δάνειο) με υψηλής ποιότητας καλυμμένα ομόλογα επιπέδου 2Β (που λαμβάνονται ως δάνειο).</w:t>
            </w:r>
          </w:p>
        </w:tc>
      </w:tr>
      <w:tr w:rsidR="00B47B7D" w:rsidRPr="000B6B22" w14:paraId="76769E01" w14:textId="77777777" w:rsidTr="0039321F">
        <w:tc>
          <w:tcPr>
            <w:tcW w:w="703" w:type="dxa"/>
            <w:shd w:val="clear" w:color="auto" w:fill="FFFFFF"/>
            <w:vAlign w:val="center"/>
          </w:tcPr>
          <w:p w14:paraId="77E80211" w14:textId="4C8BA2A5" w:rsidR="00F71050" w:rsidRPr="000B6B22" w:rsidRDefault="000F16AB">
            <w:pPr>
              <w:spacing w:before="0"/>
              <w:rPr>
                <w:rFonts w:ascii="Times New Roman" w:eastAsia="PMingLiU" w:hAnsi="Times New Roman"/>
                <w:sz w:val="24"/>
              </w:rPr>
            </w:pPr>
            <w:r>
              <w:rPr>
                <w:rFonts w:ascii="Times New Roman" w:hAnsi="Times New Roman"/>
                <w:sz w:val="24"/>
              </w:rPr>
              <w:t>0800</w:t>
            </w:r>
          </w:p>
        </w:tc>
        <w:tc>
          <w:tcPr>
            <w:tcW w:w="7371" w:type="dxa"/>
            <w:shd w:val="clear" w:color="auto" w:fill="FFFFFF"/>
          </w:tcPr>
          <w:p w14:paraId="1AA437B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1.5.5.1. Των οποίων οι εξασφαλίσεις που ανταλλάσσονται πληρούν τις λειτουργικές απαιτήσεις</w:t>
            </w:r>
          </w:p>
          <w:p w14:paraId="282A65A5" w14:textId="37F9F133"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1.5.5. τα πιστωτικά ιδρύματα αναφέρουν:</w:t>
            </w:r>
          </w:p>
          <w:p w14:paraId="3A640D84" w14:textId="0AA6F7BD"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παρέχεται ως δάνειο το οποίο,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362CF9C4" w14:textId="427AC8B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77315643" w14:textId="77777777" w:rsidTr="0039321F">
        <w:tc>
          <w:tcPr>
            <w:tcW w:w="703" w:type="dxa"/>
            <w:shd w:val="clear" w:color="auto" w:fill="FFFFFF"/>
            <w:vAlign w:val="center"/>
          </w:tcPr>
          <w:p w14:paraId="3F988958" w14:textId="23EB79D9" w:rsidR="00F71050" w:rsidRPr="000B6B22" w:rsidRDefault="000F16AB">
            <w:pPr>
              <w:spacing w:before="0"/>
              <w:rPr>
                <w:rFonts w:ascii="Times New Roman" w:eastAsia="PMingLiU" w:hAnsi="Times New Roman"/>
                <w:sz w:val="24"/>
              </w:rPr>
            </w:pPr>
            <w:r>
              <w:rPr>
                <w:rFonts w:ascii="Times New Roman" w:hAnsi="Times New Roman"/>
                <w:sz w:val="24"/>
              </w:rPr>
              <w:t>0810</w:t>
            </w:r>
          </w:p>
        </w:tc>
        <w:tc>
          <w:tcPr>
            <w:tcW w:w="7371" w:type="dxa"/>
            <w:shd w:val="clear" w:color="auto" w:fill="FFFFFF"/>
          </w:tcPr>
          <w:p w14:paraId="13BD2E6D" w14:textId="7B72805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1.5.6. Επιπέδου 2Β τίτλοι από τιτλοποίηση (εμπορικά δάνεια ή δάνεια σε ιδιώτες, κράτος μέλος, ΒΠΠ1)</w:t>
            </w:r>
          </w:p>
          <w:p w14:paraId="42093B36" w14:textId="2A6AFDE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υψηλής ποιότητας καλυμμένα ομόλογα επιπέδου 2Β (που παρέχονται ως δάνειο) με τίτλους από τιτλοποίηση επιπέδου 2Β (εμπορικά δάνεια ή δάνεια σε ιδιώτες, κράτος μέλος, ΒΠΠ1) (που λαμβάνονται ως δάνειο)</w:t>
            </w:r>
          </w:p>
        </w:tc>
      </w:tr>
      <w:tr w:rsidR="00B47B7D" w:rsidRPr="000B6B22" w14:paraId="1B0CF941" w14:textId="77777777" w:rsidTr="0039321F">
        <w:tc>
          <w:tcPr>
            <w:tcW w:w="703" w:type="dxa"/>
            <w:shd w:val="clear" w:color="auto" w:fill="FFFFFF"/>
            <w:vAlign w:val="center"/>
          </w:tcPr>
          <w:p w14:paraId="3AC74BC4" w14:textId="1BAE2E82" w:rsidR="00F71050" w:rsidRPr="000B6B22" w:rsidRDefault="000F16AB">
            <w:pPr>
              <w:spacing w:before="0"/>
              <w:rPr>
                <w:rFonts w:ascii="Times New Roman" w:eastAsia="PMingLiU" w:hAnsi="Times New Roman"/>
                <w:sz w:val="24"/>
              </w:rPr>
            </w:pPr>
            <w:r>
              <w:rPr>
                <w:rFonts w:ascii="Times New Roman" w:hAnsi="Times New Roman"/>
                <w:sz w:val="24"/>
              </w:rPr>
              <w:t>0820</w:t>
            </w:r>
          </w:p>
        </w:tc>
        <w:tc>
          <w:tcPr>
            <w:tcW w:w="7371" w:type="dxa"/>
            <w:shd w:val="clear" w:color="auto" w:fill="FFFFFF"/>
          </w:tcPr>
          <w:p w14:paraId="0AB268C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1.5.6.1. Των οποίων οι εξασφαλίσεις που ανταλλάσσονται πληρούν τις λειτουργικές απαιτήσεις</w:t>
            </w:r>
          </w:p>
          <w:p w14:paraId="65AD8AD0" w14:textId="24B4C9FC"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1.5.6. τα πιστωτικά ιδρύματα αναφέρουν:</w:t>
            </w:r>
          </w:p>
          <w:p w14:paraId="7400442A" w14:textId="659BC95B"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παρέχεται ως δάνειο το οποίο,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4C45564F" w14:textId="24888F9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782FC9CE" w14:textId="77777777" w:rsidTr="0039321F">
        <w:tc>
          <w:tcPr>
            <w:tcW w:w="703" w:type="dxa"/>
            <w:shd w:val="clear" w:color="auto" w:fill="FFFFFF"/>
            <w:vAlign w:val="center"/>
          </w:tcPr>
          <w:p w14:paraId="5BC3034F" w14:textId="043AFF4E" w:rsidR="00F71050" w:rsidRPr="000B6B22" w:rsidRDefault="000F16AB">
            <w:pPr>
              <w:spacing w:before="0"/>
              <w:rPr>
                <w:rFonts w:ascii="Times New Roman" w:eastAsia="PMingLiU" w:hAnsi="Times New Roman"/>
                <w:sz w:val="24"/>
              </w:rPr>
            </w:pPr>
            <w:r>
              <w:rPr>
                <w:rFonts w:ascii="Times New Roman" w:hAnsi="Times New Roman"/>
                <w:sz w:val="24"/>
              </w:rPr>
              <w:lastRenderedPageBreak/>
              <w:t>0830</w:t>
            </w:r>
          </w:p>
        </w:tc>
        <w:tc>
          <w:tcPr>
            <w:tcW w:w="7371" w:type="dxa"/>
            <w:shd w:val="clear" w:color="auto" w:fill="FFFFFF"/>
          </w:tcPr>
          <w:p w14:paraId="6328814A" w14:textId="25FA2E90"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1.5.7. Άλλα στοιχεία ενεργητικού επιπέδου 2Β</w:t>
            </w:r>
          </w:p>
          <w:p w14:paraId="046D8263" w14:textId="6672CA3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υψηλής ποιότητας καλυμμένα ομόλογα επιπέδου 2Β (που παρέχονται ως δάνειο) με άλλα στοιχεία επιπέδου 2Β (που λαμβάνονται ως δάνειο)</w:t>
            </w:r>
          </w:p>
        </w:tc>
      </w:tr>
      <w:tr w:rsidR="00B47B7D" w:rsidRPr="000B6B22" w14:paraId="35A66D69" w14:textId="77777777" w:rsidTr="0039321F">
        <w:tc>
          <w:tcPr>
            <w:tcW w:w="703" w:type="dxa"/>
            <w:shd w:val="clear" w:color="auto" w:fill="FFFFFF"/>
            <w:vAlign w:val="center"/>
          </w:tcPr>
          <w:p w14:paraId="5C5DECBB" w14:textId="66611126" w:rsidR="00F71050" w:rsidRPr="000B6B22" w:rsidRDefault="000F16AB">
            <w:pPr>
              <w:spacing w:before="0"/>
              <w:rPr>
                <w:rFonts w:ascii="Times New Roman" w:eastAsia="PMingLiU" w:hAnsi="Times New Roman"/>
                <w:sz w:val="24"/>
              </w:rPr>
            </w:pPr>
            <w:r>
              <w:rPr>
                <w:rFonts w:ascii="Times New Roman" w:hAnsi="Times New Roman"/>
                <w:sz w:val="24"/>
              </w:rPr>
              <w:t>0840</w:t>
            </w:r>
          </w:p>
        </w:tc>
        <w:tc>
          <w:tcPr>
            <w:tcW w:w="7371" w:type="dxa"/>
            <w:shd w:val="clear" w:color="auto" w:fill="FFFFFF"/>
          </w:tcPr>
          <w:p w14:paraId="1A4F966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1.5.7.1. Των οποίων οι εξασφαλίσεις που ανταλλάσσονται πληρούν τις λειτουργικές απαιτήσεις</w:t>
            </w:r>
          </w:p>
          <w:p w14:paraId="57434135" w14:textId="45809FB7"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1.5.7. τα πιστωτικά ιδρύματα αναφέρουν:</w:t>
            </w:r>
          </w:p>
          <w:p w14:paraId="678C2BEF" w14:textId="5CC3D9F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παρέχεται ως δάνειο το οποίο,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16C2438E" w14:textId="608EF2D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6AA4042F" w14:textId="77777777" w:rsidTr="0039321F">
        <w:tc>
          <w:tcPr>
            <w:tcW w:w="703" w:type="dxa"/>
            <w:shd w:val="clear" w:color="auto" w:fill="FFFFFF"/>
            <w:vAlign w:val="center"/>
          </w:tcPr>
          <w:p w14:paraId="4CC03248" w14:textId="34DBD963" w:rsidR="00F71050" w:rsidRPr="000B6B22" w:rsidRDefault="000F16AB">
            <w:pPr>
              <w:spacing w:before="0"/>
              <w:rPr>
                <w:rFonts w:ascii="Times New Roman" w:eastAsia="PMingLiU" w:hAnsi="Times New Roman"/>
                <w:sz w:val="24"/>
              </w:rPr>
            </w:pPr>
            <w:r>
              <w:rPr>
                <w:rFonts w:ascii="Times New Roman" w:hAnsi="Times New Roman"/>
                <w:sz w:val="24"/>
              </w:rPr>
              <w:t>0850</w:t>
            </w:r>
          </w:p>
        </w:tc>
        <w:tc>
          <w:tcPr>
            <w:tcW w:w="7371" w:type="dxa"/>
            <w:shd w:val="clear" w:color="auto" w:fill="FFFFFF"/>
          </w:tcPr>
          <w:p w14:paraId="6987AFEC" w14:textId="6705F3F8"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1.5.8. Μη ρευστά στοιχεία ενεργητικού</w:t>
            </w:r>
          </w:p>
          <w:p w14:paraId="3D4712AB" w14:textId="02DCCB1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υψηλής ποιότητας καλυμμένα ομόλογα επιπέδου 2Β (που παρέχονται ως δάνειο) με μη ρευστά στοιχεία ενεργητικού (που λαμβάνονται ως δάνειο)</w:t>
            </w:r>
          </w:p>
        </w:tc>
      </w:tr>
      <w:tr w:rsidR="00B47B7D" w:rsidRPr="000B6B22" w14:paraId="611B8BBB" w14:textId="77777777" w:rsidTr="0039321F">
        <w:tc>
          <w:tcPr>
            <w:tcW w:w="703" w:type="dxa"/>
            <w:shd w:val="clear" w:color="auto" w:fill="auto"/>
            <w:vAlign w:val="center"/>
          </w:tcPr>
          <w:p w14:paraId="314165A7" w14:textId="712F8B18" w:rsidR="00F71050" w:rsidRPr="000B6B22" w:rsidRDefault="00AD7441">
            <w:pPr>
              <w:spacing w:before="0"/>
              <w:rPr>
                <w:rFonts w:ascii="Times New Roman" w:eastAsia="PMingLiU" w:hAnsi="Times New Roman"/>
                <w:sz w:val="24"/>
              </w:rPr>
            </w:pPr>
            <w:r>
              <w:rPr>
                <w:rFonts w:ascii="Times New Roman" w:hAnsi="Times New Roman"/>
                <w:sz w:val="24"/>
              </w:rPr>
              <w:t>0860</w:t>
            </w:r>
          </w:p>
        </w:tc>
        <w:tc>
          <w:tcPr>
            <w:tcW w:w="7371" w:type="dxa"/>
            <w:shd w:val="clear" w:color="auto" w:fill="auto"/>
          </w:tcPr>
          <w:p w14:paraId="34E584B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1.5.8.1. Των οποίων οι εξασφαλίσεις που ανταλλάσσονται πληρούν τις λειτουργικές απαιτήσεις</w:t>
            </w:r>
          </w:p>
          <w:p w14:paraId="0A831078" w14:textId="6B677CFA"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Από τις συναλλαγές που αναφέρονται στο σημείο 1.5.8., τα πιστωτικά ιδρύματα αναφέρουν το σκέλος της εξασφάλισης που παρέχεται ως δάνειο το οποίο,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w:t>
            </w:r>
          </w:p>
        </w:tc>
      </w:tr>
      <w:tr w:rsidR="00B47B7D" w:rsidRPr="000B6B22" w14:paraId="29CE22B0" w14:textId="77777777" w:rsidTr="0039321F">
        <w:tc>
          <w:tcPr>
            <w:tcW w:w="703" w:type="dxa"/>
            <w:shd w:val="clear" w:color="auto" w:fill="auto"/>
            <w:vAlign w:val="center"/>
          </w:tcPr>
          <w:p w14:paraId="78CC715A" w14:textId="47F819A5" w:rsidR="00F71050" w:rsidRPr="000B6B22" w:rsidRDefault="000F16AB">
            <w:pPr>
              <w:spacing w:before="0"/>
              <w:rPr>
                <w:rFonts w:ascii="Times New Roman" w:eastAsia="PMingLiU" w:hAnsi="Times New Roman"/>
                <w:sz w:val="24"/>
              </w:rPr>
            </w:pPr>
            <w:r>
              <w:rPr>
                <w:rFonts w:ascii="Times New Roman" w:hAnsi="Times New Roman"/>
                <w:sz w:val="24"/>
              </w:rPr>
              <w:t>0870</w:t>
            </w:r>
          </w:p>
        </w:tc>
        <w:tc>
          <w:tcPr>
            <w:tcW w:w="7371" w:type="dxa"/>
            <w:shd w:val="clear" w:color="auto" w:fill="auto"/>
          </w:tcPr>
          <w:p w14:paraId="56258387"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1.6. Σύνολα για συναλλαγές κατά τις οποίες: τίτλοι επιπέδου 2Β από τιτλοποίηση (εμπορικά δάνεια ή δάνεια σε ιδιώτες, ΒΠΠ1) παρέχονται ως δάνειο και οι ακόλουθες εξασφαλίσεις λαμβάνονται ως δάνειο:</w:t>
            </w:r>
          </w:p>
          <w:p w14:paraId="0D6CCFCB" w14:textId="390A43BB"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Άρθρο 28 παράγραφος 4 και άρθρο 32 παράγραφος 3 του κατ’ εξουσιοδότηση κανονισμού (ΕΕ) 2015/61</w:t>
            </w:r>
          </w:p>
          <w:p w14:paraId="2F92B247" w14:textId="6444145B"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Τα πιστωτικά ιδρύματα αναφέρουν εδώ, για τις σχετικές στήλες, τις συνολικές αξίες των πράξεων ανταλλαγής εξασφαλίσεων για συναλλαγές κατά τις οποίες τίτλοι από τιτλοποίηση επιπέδου 2Β (εμπορικά δάνεια ή δάνεια σε ιδιώτες, κράτος μέλος, ΒΠΠ1) παρέχονται ως δάνειο.</w:t>
            </w:r>
          </w:p>
        </w:tc>
      </w:tr>
      <w:tr w:rsidR="00B47B7D" w:rsidRPr="000B6B22" w14:paraId="5E105E28" w14:textId="77777777" w:rsidTr="0039321F">
        <w:tc>
          <w:tcPr>
            <w:tcW w:w="703" w:type="dxa"/>
            <w:shd w:val="clear" w:color="auto" w:fill="FFFFFF"/>
            <w:vAlign w:val="center"/>
          </w:tcPr>
          <w:p w14:paraId="64158C0F" w14:textId="13FCA796" w:rsidR="00F71050" w:rsidRPr="000B6B22" w:rsidRDefault="00AD7441">
            <w:pPr>
              <w:spacing w:before="0"/>
              <w:rPr>
                <w:rFonts w:ascii="Times New Roman" w:eastAsia="PMingLiU" w:hAnsi="Times New Roman"/>
                <w:sz w:val="24"/>
              </w:rPr>
            </w:pPr>
            <w:r>
              <w:rPr>
                <w:rFonts w:ascii="Times New Roman" w:hAnsi="Times New Roman"/>
                <w:sz w:val="24"/>
              </w:rPr>
              <w:t>0880</w:t>
            </w:r>
          </w:p>
        </w:tc>
        <w:tc>
          <w:tcPr>
            <w:tcW w:w="7371" w:type="dxa"/>
            <w:shd w:val="clear" w:color="auto" w:fill="FFFFFF"/>
          </w:tcPr>
          <w:p w14:paraId="29AAF84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1.6.1. Στοιχεία ενεργητικού επιπέδου 1 (εξαιρουμένων των ΕΥΠ καλυμμένων ομολόγων)</w:t>
            </w:r>
          </w:p>
          <w:p w14:paraId="735D5199" w14:textId="500588D2"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τίτλους από τιτλοποίηση επιπέδου 2Β (εμπορικά δάνεια ή δάνεια σε ιδιώτες, κράτος μέλος, ΒΠΠ1) (που παρέχονται ως δάνειο) με στοιχεία ενεργητικού επιπέδου 1, εξαιρουμένων των ΕΥΠ καλυμμένων ομολόγων (που λαμβάνονται ως δάνειο).</w:t>
            </w:r>
          </w:p>
        </w:tc>
      </w:tr>
      <w:tr w:rsidR="00B47B7D" w:rsidRPr="000B6B22" w14:paraId="787C97F5" w14:textId="77777777" w:rsidTr="0039321F">
        <w:tc>
          <w:tcPr>
            <w:tcW w:w="703" w:type="dxa"/>
            <w:shd w:val="clear" w:color="auto" w:fill="FFFFFF"/>
            <w:vAlign w:val="center"/>
          </w:tcPr>
          <w:p w14:paraId="34F8FCDF" w14:textId="5EB5D465" w:rsidR="00F71050" w:rsidRPr="000B6B22" w:rsidRDefault="00AD7441">
            <w:pPr>
              <w:spacing w:before="0"/>
              <w:rPr>
                <w:rFonts w:ascii="Times New Roman" w:eastAsia="PMingLiU" w:hAnsi="Times New Roman"/>
                <w:sz w:val="24"/>
              </w:rPr>
            </w:pPr>
            <w:r>
              <w:rPr>
                <w:rFonts w:ascii="Times New Roman" w:hAnsi="Times New Roman"/>
                <w:sz w:val="24"/>
              </w:rPr>
              <w:lastRenderedPageBreak/>
              <w:t>0890</w:t>
            </w:r>
          </w:p>
        </w:tc>
        <w:tc>
          <w:tcPr>
            <w:tcW w:w="7371" w:type="dxa"/>
            <w:shd w:val="clear" w:color="auto" w:fill="FFFFFF"/>
          </w:tcPr>
          <w:p w14:paraId="4F09D6C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1.6.1.1. Των οποίων οι εξασφαλίσεις που ανταλλάσσονται πληρούν τις λειτουργικές απαιτήσεις</w:t>
            </w:r>
          </w:p>
          <w:p w14:paraId="401B2767" w14:textId="418D04CF"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1.6.1. τα πιστωτικά ιδρύματα αναφέρουν:</w:t>
            </w:r>
          </w:p>
          <w:p w14:paraId="648D0C95" w14:textId="7F5ECD02"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παρέχεται ως δάνειο το οποίο,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3A94C5FF" w14:textId="72EBB51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46E970EA" w14:textId="77777777" w:rsidTr="0039321F">
        <w:tc>
          <w:tcPr>
            <w:tcW w:w="703" w:type="dxa"/>
            <w:shd w:val="clear" w:color="auto" w:fill="FFFFFF"/>
            <w:vAlign w:val="center"/>
          </w:tcPr>
          <w:p w14:paraId="5EDE876A" w14:textId="00A21BA9" w:rsidR="00F71050" w:rsidRPr="000B6B22" w:rsidRDefault="00AD7441">
            <w:pPr>
              <w:spacing w:before="0"/>
              <w:rPr>
                <w:rFonts w:ascii="Times New Roman" w:eastAsia="PMingLiU" w:hAnsi="Times New Roman"/>
                <w:sz w:val="24"/>
              </w:rPr>
            </w:pPr>
            <w:r>
              <w:rPr>
                <w:rFonts w:ascii="Times New Roman" w:hAnsi="Times New Roman"/>
                <w:sz w:val="24"/>
              </w:rPr>
              <w:t>0900</w:t>
            </w:r>
          </w:p>
        </w:tc>
        <w:tc>
          <w:tcPr>
            <w:tcW w:w="7371" w:type="dxa"/>
            <w:shd w:val="clear" w:color="auto" w:fill="FFFFFF"/>
          </w:tcPr>
          <w:p w14:paraId="3B78C91A" w14:textId="578E4A61"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1.6.2. Επιπέδου 1 εξαιρετικά υψηλής ποιότητας καλυμμένα ομόλογα</w:t>
            </w:r>
          </w:p>
          <w:p w14:paraId="42D02A09" w14:textId="09113F4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τίτλους από τιτλοποίηση επιπέδου 2Β (εμπορικά δάνεια ή δάνεια σε ιδιώτες, κράτος μέλος, ΒΠΠ1) (που παρέχονται ως δάνειο) με επιπέδου 1 εξαιρετικά υψηλής ποιότητας καλυμμένα ομόλογα (που λαμβάνονται ως δάνειο)</w:t>
            </w:r>
          </w:p>
        </w:tc>
      </w:tr>
      <w:tr w:rsidR="00B47B7D" w:rsidRPr="000B6B22" w14:paraId="0964E747" w14:textId="77777777" w:rsidTr="0039321F">
        <w:tc>
          <w:tcPr>
            <w:tcW w:w="703" w:type="dxa"/>
            <w:shd w:val="clear" w:color="auto" w:fill="FFFFFF"/>
            <w:vAlign w:val="center"/>
          </w:tcPr>
          <w:p w14:paraId="049D8C17" w14:textId="660BC443" w:rsidR="00F71050" w:rsidRPr="000B6B22" w:rsidRDefault="00AD7441">
            <w:pPr>
              <w:spacing w:before="0"/>
              <w:rPr>
                <w:rFonts w:ascii="Times New Roman" w:eastAsia="PMingLiU" w:hAnsi="Times New Roman"/>
                <w:sz w:val="24"/>
              </w:rPr>
            </w:pPr>
            <w:r>
              <w:rPr>
                <w:rFonts w:ascii="Times New Roman" w:hAnsi="Times New Roman"/>
                <w:sz w:val="24"/>
              </w:rPr>
              <w:t>0910</w:t>
            </w:r>
          </w:p>
        </w:tc>
        <w:tc>
          <w:tcPr>
            <w:tcW w:w="7371" w:type="dxa"/>
            <w:shd w:val="clear" w:color="auto" w:fill="FFFFFF"/>
          </w:tcPr>
          <w:p w14:paraId="2B1401F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1.6.2.1. Των οποίων οι εξασφαλίσεις που ανταλλάσσονται πληρούν τις λειτουργικές απαιτήσεις</w:t>
            </w:r>
          </w:p>
          <w:p w14:paraId="515C11E5" w14:textId="432C5FEE"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1.6.2. τα πιστωτικά ιδρύματα αναφέρουν:</w:t>
            </w:r>
          </w:p>
          <w:p w14:paraId="54CC9902" w14:textId="75B56846"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παρέχεται ως δάνειο το οποίο,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2CC47FBB" w14:textId="4B6E2B5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75A8554C" w14:textId="77777777" w:rsidTr="0039321F">
        <w:tc>
          <w:tcPr>
            <w:tcW w:w="703" w:type="dxa"/>
            <w:shd w:val="clear" w:color="auto" w:fill="FFFFFF"/>
            <w:vAlign w:val="center"/>
          </w:tcPr>
          <w:p w14:paraId="7F094710" w14:textId="6C751C13" w:rsidR="00F71050" w:rsidRPr="000B6B22" w:rsidRDefault="00AD7441">
            <w:pPr>
              <w:spacing w:before="0"/>
              <w:rPr>
                <w:rFonts w:ascii="Times New Roman" w:eastAsia="PMingLiU" w:hAnsi="Times New Roman"/>
                <w:sz w:val="24"/>
              </w:rPr>
            </w:pPr>
            <w:r>
              <w:rPr>
                <w:rFonts w:ascii="Times New Roman" w:hAnsi="Times New Roman"/>
                <w:sz w:val="24"/>
              </w:rPr>
              <w:t>0920</w:t>
            </w:r>
          </w:p>
        </w:tc>
        <w:tc>
          <w:tcPr>
            <w:tcW w:w="7371" w:type="dxa"/>
            <w:shd w:val="clear" w:color="auto" w:fill="FFFFFF"/>
          </w:tcPr>
          <w:p w14:paraId="461BFF34" w14:textId="5C8136EA"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1.6.3. Στοιχεία ενεργητικού επιπέδου 2Α</w:t>
            </w:r>
          </w:p>
          <w:p w14:paraId="786FD76C" w14:textId="6C9F309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τίτλους από τιτλοποίηση επιπέδου 2Β (εμπορικά δάνεια ή δάνεια σε ιδιώτες, κράτος μέλος, ΒΠΠ1) (που παρέχονται ως δάνειο) με στοιχεία ενεργητικού επιπέδου 2Α (που λαμβάνονται ως δάνειο)</w:t>
            </w:r>
          </w:p>
        </w:tc>
      </w:tr>
      <w:tr w:rsidR="00B47B7D" w:rsidRPr="000B6B22" w14:paraId="6F90C2AA" w14:textId="77777777" w:rsidTr="0039321F">
        <w:tc>
          <w:tcPr>
            <w:tcW w:w="703" w:type="dxa"/>
            <w:shd w:val="clear" w:color="auto" w:fill="FFFFFF"/>
            <w:vAlign w:val="center"/>
          </w:tcPr>
          <w:p w14:paraId="55DD499B" w14:textId="63C2F31F" w:rsidR="00F71050" w:rsidRPr="000B6B22" w:rsidRDefault="00AD7441">
            <w:pPr>
              <w:spacing w:before="0"/>
              <w:rPr>
                <w:rFonts w:ascii="Times New Roman" w:eastAsia="PMingLiU" w:hAnsi="Times New Roman"/>
                <w:sz w:val="24"/>
              </w:rPr>
            </w:pPr>
            <w:r>
              <w:rPr>
                <w:rFonts w:ascii="Times New Roman" w:hAnsi="Times New Roman"/>
                <w:sz w:val="24"/>
              </w:rPr>
              <w:t>0930</w:t>
            </w:r>
          </w:p>
        </w:tc>
        <w:tc>
          <w:tcPr>
            <w:tcW w:w="7371" w:type="dxa"/>
            <w:shd w:val="clear" w:color="auto" w:fill="FFFFFF"/>
          </w:tcPr>
          <w:p w14:paraId="255DA90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1.6.3.1. Των οποίων οι εξασφαλίσεις που ανταλλάσσονται πληρούν τις λειτουργικές απαιτήσεις</w:t>
            </w:r>
          </w:p>
          <w:p w14:paraId="6E2B5454" w14:textId="32180B70"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1.6.3. τα πιστωτικά ιδρύματα αναφέρουν:</w:t>
            </w:r>
          </w:p>
          <w:p w14:paraId="63FE0D6C" w14:textId="5F7BA7D2"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παρέχεται ως δάνειο το οποίο,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0D22151D" w14:textId="25E1FED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5D23388C" w14:textId="77777777" w:rsidTr="0039321F">
        <w:tc>
          <w:tcPr>
            <w:tcW w:w="703" w:type="dxa"/>
            <w:shd w:val="clear" w:color="auto" w:fill="FFFFFF"/>
            <w:vAlign w:val="center"/>
          </w:tcPr>
          <w:p w14:paraId="1F88D864" w14:textId="48F5CD98" w:rsidR="00F71050" w:rsidRPr="000B6B22" w:rsidRDefault="00AD7441">
            <w:pPr>
              <w:spacing w:before="0"/>
              <w:rPr>
                <w:rFonts w:ascii="Times New Roman" w:eastAsia="PMingLiU" w:hAnsi="Times New Roman"/>
                <w:sz w:val="24"/>
              </w:rPr>
            </w:pPr>
            <w:r>
              <w:rPr>
                <w:rFonts w:ascii="Times New Roman" w:hAnsi="Times New Roman"/>
                <w:sz w:val="24"/>
              </w:rPr>
              <w:lastRenderedPageBreak/>
              <w:t>0940</w:t>
            </w:r>
          </w:p>
        </w:tc>
        <w:tc>
          <w:tcPr>
            <w:tcW w:w="7371" w:type="dxa"/>
            <w:shd w:val="clear" w:color="auto" w:fill="FFFFFF"/>
          </w:tcPr>
          <w:p w14:paraId="01CD5F22" w14:textId="69FAC9AF"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1.6.4. Επιπέδου 2Β τίτλοι από τιτλοποίηση (στεγαστικά δάνεια ή δάνεια για αγορά αυτοκινήτου, ΒΠΠ1)</w:t>
            </w:r>
          </w:p>
          <w:p w14:paraId="7F222CF2" w14:textId="1B6729E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τίτλους από τιτλοποίηση επιπέδου 2Β (εμπορικά δάνεια ή δάνεια σε ιδιώτες, κράτος μέλος, ΒΠΠ1) (που παρέχονται ως δάνειο) με τίτλους από τιτλοποίηση επιπέδου 2Β (στεγαστικά δάνεια ή δάνεια αγοράς αυτοκινήτου, ΒΠΠ1) (που λαμβάνονται ως δάνειο)</w:t>
            </w:r>
          </w:p>
        </w:tc>
      </w:tr>
      <w:tr w:rsidR="00B47B7D" w:rsidRPr="000B6B22" w14:paraId="4D1CD2C1" w14:textId="77777777" w:rsidTr="0039321F">
        <w:tc>
          <w:tcPr>
            <w:tcW w:w="703" w:type="dxa"/>
            <w:shd w:val="clear" w:color="auto" w:fill="FFFFFF"/>
            <w:vAlign w:val="center"/>
          </w:tcPr>
          <w:p w14:paraId="2B3D3DC9" w14:textId="18DD1830" w:rsidR="00F71050" w:rsidRPr="000B6B22" w:rsidRDefault="00AD7441">
            <w:pPr>
              <w:spacing w:before="0"/>
              <w:rPr>
                <w:rFonts w:ascii="Times New Roman" w:eastAsia="PMingLiU" w:hAnsi="Times New Roman"/>
                <w:sz w:val="24"/>
              </w:rPr>
            </w:pPr>
            <w:r>
              <w:rPr>
                <w:rFonts w:ascii="Times New Roman" w:hAnsi="Times New Roman"/>
                <w:sz w:val="24"/>
              </w:rPr>
              <w:t>0950</w:t>
            </w:r>
          </w:p>
        </w:tc>
        <w:tc>
          <w:tcPr>
            <w:tcW w:w="7371" w:type="dxa"/>
            <w:shd w:val="clear" w:color="auto" w:fill="FFFFFF"/>
          </w:tcPr>
          <w:p w14:paraId="6778033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1.6.4.1. Των οποίων οι εξασφαλίσεις που ανταλλάσσονται πληρούν τις λειτουργικές απαιτήσεις</w:t>
            </w:r>
          </w:p>
          <w:p w14:paraId="24CB6154" w14:textId="0D46ED63"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1.6.4. τα πιστωτικά ιδρύματα αναφέρουν:</w:t>
            </w:r>
          </w:p>
          <w:p w14:paraId="180A713E" w14:textId="5FBF9720"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παρέχεται ως δάνειο το οποίο,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1BB6C128" w14:textId="54158B6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49EC672A" w14:textId="77777777" w:rsidTr="0039321F">
        <w:tc>
          <w:tcPr>
            <w:tcW w:w="703" w:type="dxa"/>
            <w:shd w:val="clear" w:color="auto" w:fill="FFFFFF"/>
            <w:vAlign w:val="center"/>
          </w:tcPr>
          <w:p w14:paraId="65CE0AEE" w14:textId="74F5A65A" w:rsidR="00F71050" w:rsidRPr="000B6B22" w:rsidRDefault="00AD7441">
            <w:pPr>
              <w:spacing w:before="0"/>
              <w:rPr>
                <w:rFonts w:ascii="Times New Roman" w:eastAsia="PMingLiU" w:hAnsi="Times New Roman"/>
                <w:sz w:val="24"/>
              </w:rPr>
            </w:pPr>
            <w:r>
              <w:rPr>
                <w:rFonts w:ascii="Times New Roman" w:hAnsi="Times New Roman"/>
                <w:sz w:val="24"/>
              </w:rPr>
              <w:t>0960</w:t>
            </w:r>
          </w:p>
        </w:tc>
        <w:tc>
          <w:tcPr>
            <w:tcW w:w="7371" w:type="dxa"/>
            <w:shd w:val="clear" w:color="auto" w:fill="FFFFFF"/>
          </w:tcPr>
          <w:p w14:paraId="350480C7" w14:textId="5991D405"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1.6.5. Επιπέδου 2Β υψηλής ποιότητας καλυμμένα ομόλογα</w:t>
            </w:r>
          </w:p>
          <w:p w14:paraId="4262232E" w14:textId="1E90738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τίτλους από τιτλοποίηση επιπέδου 2Β (εμπορικά δάνεια ή δάνεια σε ιδιώτες, κράτος μέλος, ΒΠΠ1) (που παρέχονται ως δάνειο) με υψηλής ποιότητας καλυμμένα ομόλογα επιπέδου 2Β (που λαμβάνονται ως δάνειο)</w:t>
            </w:r>
          </w:p>
        </w:tc>
      </w:tr>
      <w:tr w:rsidR="00B47B7D" w:rsidRPr="000B6B22" w14:paraId="526C775C" w14:textId="77777777" w:rsidTr="0039321F">
        <w:tc>
          <w:tcPr>
            <w:tcW w:w="703" w:type="dxa"/>
            <w:shd w:val="clear" w:color="auto" w:fill="FFFFFF"/>
            <w:vAlign w:val="center"/>
          </w:tcPr>
          <w:p w14:paraId="0D3E8CBA" w14:textId="0EFBBE63" w:rsidR="00F71050" w:rsidRPr="000B6B22" w:rsidRDefault="00AD7441">
            <w:pPr>
              <w:spacing w:before="0"/>
              <w:rPr>
                <w:rFonts w:ascii="Times New Roman" w:eastAsia="PMingLiU" w:hAnsi="Times New Roman"/>
                <w:sz w:val="24"/>
              </w:rPr>
            </w:pPr>
            <w:r>
              <w:rPr>
                <w:rFonts w:ascii="Times New Roman" w:hAnsi="Times New Roman"/>
                <w:sz w:val="24"/>
              </w:rPr>
              <w:t>0970</w:t>
            </w:r>
          </w:p>
        </w:tc>
        <w:tc>
          <w:tcPr>
            <w:tcW w:w="7371" w:type="dxa"/>
            <w:shd w:val="clear" w:color="auto" w:fill="FFFFFF"/>
          </w:tcPr>
          <w:p w14:paraId="33A9869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1.6.5.1. Των οποίων οι εξασφαλίσεις που ανταλλάσσονται πληρούν τις λειτουργικές απαιτήσεις</w:t>
            </w:r>
          </w:p>
          <w:p w14:paraId="59BC2680" w14:textId="26ACE4BA"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1.6.5. τα πιστωτικά ιδρύματα αναφέρουν:</w:t>
            </w:r>
          </w:p>
          <w:p w14:paraId="725AA3BC" w14:textId="51CF6F83"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παρέχεται ως δάνειο το οποίο,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63551751" w14:textId="1DF5DA6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405CD0E0" w14:textId="77777777" w:rsidTr="0039321F">
        <w:tc>
          <w:tcPr>
            <w:tcW w:w="703" w:type="dxa"/>
            <w:shd w:val="clear" w:color="auto" w:fill="FFFFFF"/>
            <w:vAlign w:val="center"/>
          </w:tcPr>
          <w:p w14:paraId="262BE4B5" w14:textId="6AC3A0D2" w:rsidR="00F71050" w:rsidRPr="000B6B22" w:rsidRDefault="00AD7441">
            <w:pPr>
              <w:spacing w:before="0"/>
              <w:rPr>
                <w:rFonts w:ascii="Times New Roman" w:eastAsia="PMingLiU" w:hAnsi="Times New Roman"/>
                <w:sz w:val="24"/>
              </w:rPr>
            </w:pPr>
            <w:r>
              <w:rPr>
                <w:rFonts w:ascii="Times New Roman" w:hAnsi="Times New Roman"/>
                <w:sz w:val="24"/>
              </w:rPr>
              <w:t>0980</w:t>
            </w:r>
          </w:p>
        </w:tc>
        <w:tc>
          <w:tcPr>
            <w:tcW w:w="7371" w:type="dxa"/>
            <w:shd w:val="clear" w:color="auto" w:fill="FFFFFF"/>
          </w:tcPr>
          <w:p w14:paraId="60021913" w14:textId="7BC90EF0"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1.6.6. Επιπέδου 2Β τίτλοι από τιτλοποίηση (εμπορικά δάνεια ή δάνεια σε ιδιώτες, κράτος μέλος, ΒΠΠ1)</w:t>
            </w:r>
          </w:p>
          <w:p w14:paraId="5C7CF200" w14:textId="519C544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τίτλους από τιτλοποίηση επιπέδου 2Β (εμπορικά δάνεια ή δάνεια σε ιδιώτες, κράτος μέλος, ΒΠΠ1) (που παρέχονται ως δάνειο) με τίτλους από τιτλοποίηση επιπέδου 2Β (εμπορικά δάνεια ή δάνεια σε ιδιώτες, κράτος μέλος, ΒΠΠ1) (που λαμβάνονται ως δάνειο)</w:t>
            </w:r>
          </w:p>
        </w:tc>
      </w:tr>
      <w:tr w:rsidR="00B47B7D" w:rsidRPr="000B6B22" w14:paraId="716F824A" w14:textId="77777777" w:rsidTr="0039321F">
        <w:tc>
          <w:tcPr>
            <w:tcW w:w="703" w:type="dxa"/>
            <w:shd w:val="clear" w:color="auto" w:fill="FFFFFF"/>
            <w:vAlign w:val="center"/>
          </w:tcPr>
          <w:p w14:paraId="43C60A46" w14:textId="6DFD95B7" w:rsidR="00F71050" w:rsidRPr="000B6B22" w:rsidRDefault="00AD7441">
            <w:pPr>
              <w:spacing w:before="0"/>
              <w:rPr>
                <w:rFonts w:ascii="Times New Roman" w:eastAsia="PMingLiU" w:hAnsi="Times New Roman"/>
                <w:sz w:val="24"/>
              </w:rPr>
            </w:pPr>
            <w:r>
              <w:rPr>
                <w:rFonts w:ascii="Times New Roman" w:hAnsi="Times New Roman"/>
                <w:sz w:val="24"/>
              </w:rPr>
              <w:t>0990</w:t>
            </w:r>
          </w:p>
        </w:tc>
        <w:tc>
          <w:tcPr>
            <w:tcW w:w="7371" w:type="dxa"/>
            <w:shd w:val="clear" w:color="auto" w:fill="FFFFFF"/>
          </w:tcPr>
          <w:p w14:paraId="1F8504A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1.6.6.1. Των οποίων οι εξασφαλίσεις που ανταλλάσσονται πληρούν τις λειτουργικές απαιτήσεις</w:t>
            </w:r>
          </w:p>
          <w:p w14:paraId="7BB2A0C4" w14:textId="7559937C" w:rsidR="00F71050" w:rsidRPr="000B6B22" w:rsidRDefault="00F71050" w:rsidP="009D4EFF">
            <w:pPr>
              <w:spacing w:before="0"/>
              <w:ind w:left="-84"/>
              <w:rPr>
                <w:rFonts w:ascii="Times New Roman" w:hAnsi="Times New Roman"/>
                <w:sz w:val="24"/>
              </w:rPr>
            </w:pPr>
            <w:r>
              <w:rPr>
                <w:rFonts w:ascii="Times New Roman" w:hAnsi="Times New Roman"/>
                <w:sz w:val="24"/>
              </w:rPr>
              <w:lastRenderedPageBreak/>
              <w:t>Από τις συναλλαγές που αναφέρονται στο σημείο 1.6.6. τα πιστωτικά ιδρύματα αναφέρουν:</w:t>
            </w:r>
          </w:p>
          <w:p w14:paraId="21231FBD" w14:textId="087BF3A3"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παρέχεται ως δάνειο το οποίο,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27DA0145" w14:textId="163E63C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7D9CE354" w14:textId="77777777" w:rsidTr="0039321F">
        <w:tc>
          <w:tcPr>
            <w:tcW w:w="703" w:type="dxa"/>
            <w:shd w:val="clear" w:color="auto" w:fill="FFFFFF"/>
            <w:vAlign w:val="center"/>
          </w:tcPr>
          <w:p w14:paraId="5DE642FF" w14:textId="3465903B" w:rsidR="00F71050" w:rsidRPr="000B6B22" w:rsidRDefault="00AD7441">
            <w:pPr>
              <w:spacing w:before="0"/>
              <w:rPr>
                <w:rFonts w:ascii="Times New Roman" w:eastAsia="PMingLiU" w:hAnsi="Times New Roman"/>
                <w:sz w:val="24"/>
              </w:rPr>
            </w:pPr>
            <w:r>
              <w:rPr>
                <w:rFonts w:ascii="Times New Roman" w:hAnsi="Times New Roman"/>
                <w:sz w:val="24"/>
              </w:rPr>
              <w:lastRenderedPageBreak/>
              <w:t>1000</w:t>
            </w:r>
          </w:p>
        </w:tc>
        <w:tc>
          <w:tcPr>
            <w:tcW w:w="7371" w:type="dxa"/>
            <w:shd w:val="clear" w:color="auto" w:fill="FFFFFF"/>
          </w:tcPr>
          <w:p w14:paraId="0B3E9194" w14:textId="728749B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1.6.7. Άλλα στοιχεία ενεργητικού επιπέδου 2Β</w:t>
            </w:r>
          </w:p>
          <w:p w14:paraId="56EA827D" w14:textId="1DCA3F9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τίτλους από τιτλοποίηση επιπέδου 2Β (εμπορικά δάνεια ή δάνεια σε ιδιώτες, κράτος μέλος, ΒΠΠ1) (που παρέχονται ως δάνειο) με άλλα στοιχεία επιπέδου 2Β (που λαμβάνονται ως δάνειο)</w:t>
            </w:r>
          </w:p>
        </w:tc>
      </w:tr>
      <w:tr w:rsidR="00B47B7D" w:rsidRPr="000B6B22" w14:paraId="1FB5D91D" w14:textId="77777777" w:rsidTr="0039321F">
        <w:tc>
          <w:tcPr>
            <w:tcW w:w="703" w:type="dxa"/>
            <w:shd w:val="clear" w:color="auto" w:fill="FFFFFF"/>
            <w:vAlign w:val="center"/>
          </w:tcPr>
          <w:p w14:paraId="06C9F944" w14:textId="375AFFED" w:rsidR="00F71050" w:rsidRPr="000B6B22" w:rsidRDefault="00AD7441">
            <w:pPr>
              <w:spacing w:before="0"/>
              <w:rPr>
                <w:rFonts w:ascii="Times New Roman" w:eastAsia="PMingLiU" w:hAnsi="Times New Roman"/>
                <w:sz w:val="24"/>
              </w:rPr>
            </w:pPr>
            <w:r>
              <w:rPr>
                <w:rFonts w:ascii="Times New Roman" w:hAnsi="Times New Roman"/>
                <w:sz w:val="24"/>
              </w:rPr>
              <w:t>1010</w:t>
            </w:r>
          </w:p>
        </w:tc>
        <w:tc>
          <w:tcPr>
            <w:tcW w:w="7371" w:type="dxa"/>
            <w:shd w:val="clear" w:color="auto" w:fill="FFFFFF"/>
          </w:tcPr>
          <w:p w14:paraId="0D6C60F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1.6.7.1. Των οποίων οι εξασφαλίσεις που ανταλλάσσονται πληρούν τις λειτουργικές απαιτήσεις</w:t>
            </w:r>
          </w:p>
          <w:p w14:paraId="3EE17E96" w14:textId="72F64DE2"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1.6.7. τα πιστωτικά ιδρύματα αναφέρουν:</w:t>
            </w:r>
          </w:p>
          <w:p w14:paraId="10F77ADD" w14:textId="6E16C29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παρέχεται ως δάνειο το οποίο,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56BCAFEC" w14:textId="7A3540C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6661DB40" w14:textId="77777777" w:rsidTr="0039321F">
        <w:tc>
          <w:tcPr>
            <w:tcW w:w="703" w:type="dxa"/>
            <w:shd w:val="clear" w:color="auto" w:fill="FFFFFF"/>
            <w:vAlign w:val="center"/>
          </w:tcPr>
          <w:p w14:paraId="1E56ED74" w14:textId="3918EE6E" w:rsidR="00F71050" w:rsidRPr="000B6B22" w:rsidRDefault="00AD7441">
            <w:pPr>
              <w:spacing w:before="0"/>
              <w:rPr>
                <w:rFonts w:ascii="Times New Roman" w:eastAsia="PMingLiU" w:hAnsi="Times New Roman"/>
                <w:sz w:val="24"/>
              </w:rPr>
            </w:pPr>
            <w:r>
              <w:rPr>
                <w:rFonts w:ascii="Times New Roman" w:hAnsi="Times New Roman"/>
                <w:sz w:val="24"/>
              </w:rPr>
              <w:t>1020</w:t>
            </w:r>
          </w:p>
        </w:tc>
        <w:tc>
          <w:tcPr>
            <w:tcW w:w="7371" w:type="dxa"/>
            <w:shd w:val="clear" w:color="auto" w:fill="FFFFFF"/>
          </w:tcPr>
          <w:p w14:paraId="07E02C4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1.6.8. Μη ρευστά στοιχεία ενεργητικού</w:t>
            </w:r>
          </w:p>
          <w:p w14:paraId="0FF5DE67" w14:textId="522131F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τίτλους από τιτλοποίηση επιπέδου 2Β (εμπορικά δάνεια ή δάνεια σε ιδιώτες, κράτος μέλος, ΒΠΠ1) (που παρέχονται ως δάνειο) με μη ρευστά στοιχεία ενεργητικού (που λαμβάνονται ως δάνειο)</w:t>
            </w:r>
          </w:p>
        </w:tc>
      </w:tr>
      <w:tr w:rsidR="00B47B7D" w:rsidRPr="000B6B22" w14:paraId="446E9C87" w14:textId="77777777" w:rsidTr="0039321F">
        <w:tc>
          <w:tcPr>
            <w:tcW w:w="703" w:type="dxa"/>
            <w:shd w:val="clear" w:color="auto" w:fill="auto"/>
            <w:vAlign w:val="center"/>
          </w:tcPr>
          <w:p w14:paraId="53250B2D" w14:textId="0C7FC8CE" w:rsidR="00F71050" w:rsidRPr="000B6B22" w:rsidRDefault="00AD7441">
            <w:pPr>
              <w:spacing w:before="0"/>
              <w:rPr>
                <w:rFonts w:ascii="Times New Roman" w:eastAsia="PMingLiU" w:hAnsi="Times New Roman"/>
                <w:sz w:val="24"/>
              </w:rPr>
            </w:pPr>
            <w:r>
              <w:rPr>
                <w:rFonts w:ascii="Times New Roman" w:hAnsi="Times New Roman"/>
                <w:sz w:val="24"/>
              </w:rPr>
              <w:t>1030</w:t>
            </w:r>
          </w:p>
        </w:tc>
        <w:tc>
          <w:tcPr>
            <w:tcW w:w="7371" w:type="dxa"/>
            <w:shd w:val="clear" w:color="auto" w:fill="auto"/>
          </w:tcPr>
          <w:p w14:paraId="4F2AB0E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1.6.8.1. Των οποίων οι εξασφαλίσεις που ανταλλάσσονται πληρούν τις λειτουργικές απαιτήσεις</w:t>
            </w:r>
          </w:p>
          <w:p w14:paraId="6FEF2515" w14:textId="5E87DF7F"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Από τις συναλλαγές που αναφέρονται στο σημείο 1.6.8., τα πιστωτικά ιδρύματα αναφέρουν το σκέλος της εξασφάλισης που παρέχεται ως δάνειο το οποίο,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w:t>
            </w:r>
          </w:p>
        </w:tc>
      </w:tr>
      <w:tr w:rsidR="00B47B7D" w:rsidRPr="000B6B22" w14:paraId="088C3DF1" w14:textId="77777777" w:rsidTr="0039321F">
        <w:tc>
          <w:tcPr>
            <w:tcW w:w="703" w:type="dxa"/>
            <w:shd w:val="clear" w:color="auto" w:fill="auto"/>
            <w:vAlign w:val="center"/>
          </w:tcPr>
          <w:p w14:paraId="6277B14C" w14:textId="1D474E52" w:rsidR="00F71050" w:rsidRPr="000B6B22" w:rsidRDefault="00AD7441">
            <w:pPr>
              <w:spacing w:before="0"/>
              <w:rPr>
                <w:rFonts w:ascii="Times New Roman" w:eastAsia="PMingLiU" w:hAnsi="Times New Roman"/>
                <w:sz w:val="24"/>
              </w:rPr>
            </w:pPr>
            <w:r>
              <w:rPr>
                <w:rFonts w:ascii="Times New Roman" w:hAnsi="Times New Roman"/>
                <w:sz w:val="24"/>
              </w:rPr>
              <w:t>1040</w:t>
            </w:r>
          </w:p>
        </w:tc>
        <w:tc>
          <w:tcPr>
            <w:tcW w:w="7371" w:type="dxa"/>
            <w:shd w:val="clear" w:color="auto" w:fill="auto"/>
          </w:tcPr>
          <w:p w14:paraId="48A9CF10" w14:textId="1D95FF81" w:rsidR="00F71050" w:rsidRPr="000B6B22" w:rsidRDefault="00F71050" w:rsidP="009D4EFF">
            <w:pPr>
              <w:spacing w:before="0"/>
              <w:ind w:left="-84"/>
              <w:rPr>
                <w:rFonts w:ascii="Times New Roman" w:eastAsia="PMingLiU" w:hAnsi="Times New Roman"/>
                <w:sz w:val="24"/>
              </w:rPr>
            </w:pPr>
            <w:r>
              <w:rPr>
                <w:rFonts w:ascii="Times New Roman" w:hAnsi="Times New Roman"/>
                <w:b/>
                <w:sz w:val="24"/>
              </w:rPr>
              <w:t>1.7. Σύνολα για συναλλαγές κατά τις οποίες άλλα στοιχεία ενεργητικού επιπέδου 2Β παρέχονται ως δάνειο και οι ακόλουθες εξασφαλίσεις λαμβάνονται ως δάνειο:</w:t>
            </w:r>
          </w:p>
          <w:p w14:paraId="0D44B875" w14:textId="1E77AEB7"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Άρθρο 28 παράγραφος 4 και άρθρο 32 παράγραφος 3 του κατ’ εξουσιοδότηση κανονισμού (ΕΕ) 2015/61</w:t>
            </w:r>
          </w:p>
          <w:p w14:paraId="62CA5E30" w14:textId="0692EC44"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 xml:space="preserve">Τα πιστωτικά ιδρύματα αναφέρουν εδώ, για τις σχετικές στήλες, τις συνολικές αξίες των πράξεων ανταλλαγής εξασφαλίσεων για συναλλαγές </w:t>
            </w:r>
            <w:r>
              <w:rPr>
                <w:rFonts w:ascii="Times New Roman" w:hAnsi="Times New Roman"/>
                <w:sz w:val="24"/>
              </w:rPr>
              <w:lastRenderedPageBreak/>
              <w:t>κατά τις οποίες άλλα στοιχεία ενεργητικού επιπέδου 2Β παρέχονται ως δάνειο.</w:t>
            </w:r>
          </w:p>
        </w:tc>
      </w:tr>
      <w:tr w:rsidR="00B47B7D" w:rsidRPr="000B6B22" w14:paraId="0C1CC2CC" w14:textId="77777777" w:rsidTr="0039321F">
        <w:tc>
          <w:tcPr>
            <w:tcW w:w="703" w:type="dxa"/>
            <w:shd w:val="clear" w:color="auto" w:fill="FFFFFF"/>
            <w:vAlign w:val="center"/>
          </w:tcPr>
          <w:p w14:paraId="07310C9D" w14:textId="53945E34" w:rsidR="00F71050" w:rsidRPr="000B6B22" w:rsidRDefault="00AD7441">
            <w:pPr>
              <w:spacing w:before="0"/>
              <w:rPr>
                <w:rFonts w:ascii="Times New Roman" w:eastAsia="PMingLiU" w:hAnsi="Times New Roman"/>
                <w:sz w:val="24"/>
              </w:rPr>
            </w:pPr>
            <w:r>
              <w:rPr>
                <w:rFonts w:ascii="Times New Roman" w:hAnsi="Times New Roman"/>
                <w:sz w:val="24"/>
              </w:rPr>
              <w:lastRenderedPageBreak/>
              <w:t>1050</w:t>
            </w:r>
          </w:p>
        </w:tc>
        <w:tc>
          <w:tcPr>
            <w:tcW w:w="7371" w:type="dxa"/>
            <w:shd w:val="clear" w:color="auto" w:fill="FFFFFF"/>
          </w:tcPr>
          <w:p w14:paraId="7FBD902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1.7.1. Στοιχεία ενεργητικού επιπέδου 1 (εξαιρουμένων των ΕΥΠ καλυμμένων ομολόγων)</w:t>
            </w:r>
          </w:p>
          <w:p w14:paraId="572A4819" w14:textId="4D7EA593"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άλλα στοιχεία επιπέδου 2Β (που παρέχονται ως δάνειο) με στοιχεία ενεργητικού επιπέδου 1 εξαιρουμένων των ΕΥΠ καλυμμένων ομολόγων (που λαμβάνονται ως δάνειο).</w:t>
            </w:r>
          </w:p>
        </w:tc>
      </w:tr>
      <w:tr w:rsidR="00B47B7D" w:rsidRPr="000B6B22" w14:paraId="3A52F828" w14:textId="77777777" w:rsidTr="0039321F">
        <w:tc>
          <w:tcPr>
            <w:tcW w:w="703" w:type="dxa"/>
            <w:shd w:val="clear" w:color="auto" w:fill="FFFFFF"/>
            <w:vAlign w:val="center"/>
          </w:tcPr>
          <w:p w14:paraId="4669CC2C" w14:textId="7DEED67D" w:rsidR="00F71050" w:rsidRPr="000B6B22" w:rsidRDefault="00AD7441">
            <w:pPr>
              <w:spacing w:before="0"/>
              <w:rPr>
                <w:rFonts w:ascii="Times New Roman" w:eastAsia="PMingLiU" w:hAnsi="Times New Roman"/>
                <w:sz w:val="24"/>
              </w:rPr>
            </w:pPr>
            <w:r>
              <w:rPr>
                <w:rFonts w:ascii="Times New Roman" w:hAnsi="Times New Roman"/>
                <w:sz w:val="24"/>
              </w:rPr>
              <w:t>1060</w:t>
            </w:r>
          </w:p>
        </w:tc>
        <w:tc>
          <w:tcPr>
            <w:tcW w:w="7371" w:type="dxa"/>
            <w:shd w:val="clear" w:color="auto" w:fill="FFFFFF"/>
          </w:tcPr>
          <w:p w14:paraId="63CA996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1.7.1.1. Των οποίων οι εξασφαλίσεις που ανταλλάσσονται πληρούν τις λειτουργικές απαιτήσεις</w:t>
            </w:r>
          </w:p>
          <w:p w14:paraId="500C6826" w14:textId="0EA2CD13"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1.7.1. τα πιστωτικά ιδρύματα αναφέρουν:</w:t>
            </w:r>
          </w:p>
          <w:p w14:paraId="4E5F97B7" w14:textId="16A20F1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παρέχεται ως δάνειο το οποίο,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359BF000" w14:textId="622ADB1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4F8269A9" w14:textId="77777777" w:rsidTr="0039321F">
        <w:tc>
          <w:tcPr>
            <w:tcW w:w="703" w:type="dxa"/>
            <w:shd w:val="clear" w:color="auto" w:fill="FFFFFF"/>
            <w:vAlign w:val="center"/>
          </w:tcPr>
          <w:p w14:paraId="1C06ED4D" w14:textId="4EA7854D" w:rsidR="00F71050" w:rsidRPr="000B6B22" w:rsidRDefault="00AD7441">
            <w:pPr>
              <w:spacing w:before="0"/>
              <w:rPr>
                <w:rFonts w:ascii="Times New Roman" w:eastAsia="PMingLiU" w:hAnsi="Times New Roman"/>
                <w:sz w:val="24"/>
              </w:rPr>
            </w:pPr>
            <w:r>
              <w:rPr>
                <w:rFonts w:ascii="Times New Roman" w:hAnsi="Times New Roman"/>
                <w:sz w:val="24"/>
              </w:rPr>
              <w:t>1070</w:t>
            </w:r>
          </w:p>
        </w:tc>
        <w:tc>
          <w:tcPr>
            <w:tcW w:w="7371" w:type="dxa"/>
            <w:shd w:val="clear" w:color="auto" w:fill="FFFFFF"/>
          </w:tcPr>
          <w:p w14:paraId="50CA637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1.7.2. Επιπέδου 1 εξαιρετικά υψηλής ποιότητας καλυμμένα ομόλογα</w:t>
            </w:r>
          </w:p>
          <w:p w14:paraId="60524733" w14:textId="033ED8D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άλλα στοιχεία επιπέδου 2Β (που παρέχονται ως δάνειο) με επιπέδου 1 εξαιρετικά υψηλής ποιότητας καλυμμένα ομόλογα (που λαμβάνονται ως δάνειο).</w:t>
            </w:r>
          </w:p>
        </w:tc>
      </w:tr>
      <w:tr w:rsidR="00B47B7D" w:rsidRPr="000B6B22" w14:paraId="65FA7609" w14:textId="77777777" w:rsidTr="0039321F">
        <w:tc>
          <w:tcPr>
            <w:tcW w:w="703" w:type="dxa"/>
            <w:shd w:val="clear" w:color="auto" w:fill="FFFFFF"/>
            <w:vAlign w:val="center"/>
          </w:tcPr>
          <w:p w14:paraId="591C5514" w14:textId="0BB1B99C" w:rsidR="00F71050" w:rsidRPr="000B6B22" w:rsidRDefault="00AD7441">
            <w:pPr>
              <w:spacing w:before="0"/>
              <w:rPr>
                <w:rFonts w:ascii="Times New Roman" w:eastAsia="PMingLiU" w:hAnsi="Times New Roman"/>
                <w:sz w:val="24"/>
              </w:rPr>
            </w:pPr>
            <w:r>
              <w:rPr>
                <w:rFonts w:ascii="Times New Roman" w:hAnsi="Times New Roman"/>
                <w:sz w:val="24"/>
              </w:rPr>
              <w:t>1080</w:t>
            </w:r>
          </w:p>
        </w:tc>
        <w:tc>
          <w:tcPr>
            <w:tcW w:w="7371" w:type="dxa"/>
            <w:shd w:val="clear" w:color="auto" w:fill="FFFFFF"/>
          </w:tcPr>
          <w:p w14:paraId="2EF8D48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1.7.2.1. Των οποίων οι εξασφαλίσεις που ανταλλάσσονται πληρούν τις λειτουργικές απαιτήσεις</w:t>
            </w:r>
          </w:p>
          <w:p w14:paraId="46E98DB4" w14:textId="1D1217DC"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1.7.2. τα πιστωτικά ιδρύματα αναφέρουν:</w:t>
            </w:r>
          </w:p>
          <w:p w14:paraId="30A855FA" w14:textId="5A2A25A5"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παρέχεται ως δάνειο το οποίο,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56E3387A" w14:textId="1DF309C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5661FDD4" w14:textId="77777777" w:rsidTr="0039321F">
        <w:tc>
          <w:tcPr>
            <w:tcW w:w="703" w:type="dxa"/>
            <w:shd w:val="clear" w:color="auto" w:fill="FFFFFF"/>
            <w:vAlign w:val="center"/>
          </w:tcPr>
          <w:p w14:paraId="548F2FAE" w14:textId="3C2A58F5" w:rsidR="00F71050" w:rsidRPr="000B6B22" w:rsidRDefault="00AD7441">
            <w:pPr>
              <w:spacing w:before="0"/>
              <w:rPr>
                <w:rFonts w:ascii="Times New Roman" w:eastAsia="PMingLiU" w:hAnsi="Times New Roman"/>
                <w:sz w:val="24"/>
              </w:rPr>
            </w:pPr>
            <w:r>
              <w:rPr>
                <w:rFonts w:ascii="Times New Roman" w:hAnsi="Times New Roman"/>
                <w:sz w:val="24"/>
              </w:rPr>
              <w:t>1090</w:t>
            </w:r>
          </w:p>
        </w:tc>
        <w:tc>
          <w:tcPr>
            <w:tcW w:w="7371" w:type="dxa"/>
            <w:shd w:val="clear" w:color="auto" w:fill="FFFFFF"/>
          </w:tcPr>
          <w:p w14:paraId="1424FC15"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1.7.3. Στοιχεία ενεργητικού επιπέδου 2Α</w:t>
            </w:r>
          </w:p>
          <w:p w14:paraId="1ADAC91C" w14:textId="19D0AC9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άλλα στοιχεία επιπέδου 2Β (που παρέχονται ως δάνειο) με στοιχεία ενεργητικού επιπέδου 2Α (που λαμβάνονται ως δάνειο).</w:t>
            </w:r>
          </w:p>
        </w:tc>
      </w:tr>
      <w:tr w:rsidR="00B47B7D" w:rsidRPr="000B6B22" w14:paraId="50D83DD7" w14:textId="77777777" w:rsidTr="0039321F">
        <w:tc>
          <w:tcPr>
            <w:tcW w:w="703" w:type="dxa"/>
            <w:shd w:val="clear" w:color="auto" w:fill="FFFFFF"/>
            <w:vAlign w:val="center"/>
          </w:tcPr>
          <w:p w14:paraId="085392DF" w14:textId="3FA38D30" w:rsidR="00F71050" w:rsidRPr="000B6B22" w:rsidRDefault="00AD7441">
            <w:pPr>
              <w:spacing w:before="0"/>
              <w:rPr>
                <w:rFonts w:ascii="Times New Roman" w:eastAsia="PMingLiU" w:hAnsi="Times New Roman"/>
                <w:sz w:val="24"/>
              </w:rPr>
            </w:pPr>
            <w:r>
              <w:rPr>
                <w:rFonts w:ascii="Times New Roman" w:hAnsi="Times New Roman"/>
                <w:sz w:val="24"/>
              </w:rPr>
              <w:t>1100</w:t>
            </w:r>
          </w:p>
        </w:tc>
        <w:tc>
          <w:tcPr>
            <w:tcW w:w="7371" w:type="dxa"/>
            <w:shd w:val="clear" w:color="auto" w:fill="FFFFFF"/>
          </w:tcPr>
          <w:p w14:paraId="09363B3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1.7.3.1. Των οποίων οι εξασφαλίσεις που ανταλλάσσονται πληρούν τις λειτουργικές απαιτήσεις</w:t>
            </w:r>
          </w:p>
          <w:p w14:paraId="644508AF" w14:textId="07FE9794"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1.7.3. τα πιστωτικά ιδρύματα αναφέρουν:</w:t>
            </w:r>
          </w:p>
          <w:p w14:paraId="21C65F8E" w14:textId="75799117"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το σκέλος της εξασφάλισης που παρέχεται ως δάνειο το οποίο,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5B4DC054" w14:textId="53C00BB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6617CCEF" w14:textId="77777777" w:rsidTr="0039321F">
        <w:tc>
          <w:tcPr>
            <w:tcW w:w="703" w:type="dxa"/>
            <w:shd w:val="clear" w:color="auto" w:fill="FFFFFF"/>
            <w:vAlign w:val="center"/>
          </w:tcPr>
          <w:p w14:paraId="12C94D74" w14:textId="006C50A5" w:rsidR="00F71050" w:rsidRPr="000B6B22" w:rsidRDefault="00AD7441">
            <w:pPr>
              <w:spacing w:before="0"/>
              <w:rPr>
                <w:rFonts w:ascii="Times New Roman" w:eastAsia="PMingLiU" w:hAnsi="Times New Roman"/>
                <w:sz w:val="24"/>
              </w:rPr>
            </w:pPr>
            <w:r>
              <w:rPr>
                <w:rFonts w:ascii="Times New Roman" w:hAnsi="Times New Roman"/>
                <w:sz w:val="24"/>
              </w:rPr>
              <w:lastRenderedPageBreak/>
              <w:t>1110</w:t>
            </w:r>
          </w:p>
        </w:tc>
        <w:tc>
          <w:tcPr>
            <w:tcW w:w="7371" w:type="dxa"/>
            <w:shd w:val="clear" w:color="auto" w:fill="FFFFFF"/>
          </w:tcPr>
          <w:p w14:paraId="40D6A9E0" w14:textId="098DC50C"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1.7.4. Επιπέδου 2Β τίτλοι από τιτλοποίηση (στεγαστικά δάνεια ή δάνεια για αγορά αυτοκινήτου, ΒΠΠ1)</w:t>
            </w:r>
          </w:p>
          <w:p w14:paraId="59C49869" w14:textId="3B005F7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άλλα στοιχεία επιπέδου 2Β (που παρέχονται ως δάνειο) με τίτλους από τιτλοποίηση επιπέδου 2Β (στεγαστικά δάνεια ή δάνεια αγοράς αυτοκινήτου, ΒΠΠ1) (που λαμβάνονται ως δάνειο).</w:t>
            </w:r>
          </w:p>
        </w:tc>
      </w:tr>
      <w:tr w:rsidR="00B47B7D" w:rsidRPr="000B6B22" w14:paraId="21BE1D1D" w14:textId="77777777" w:rsidTr="0039321F">
        <w:tc>
          <w:tcPr>
            <w:tcW w:w="703" w:type="dxa"/>
            <w:shd w:val="clear" w:color="auto" w:fill="FFFFFF"/>
            <w:vAlign w:val="center"/>
          </w:tcPr>
          <w:p w14:paraId="3A1DD008" w14:textId="565E7420" w:rsidR="00F71050" w:rsidRPr="000B6B22" w:rsidRDefault="00AD7441">
            <w:pPr>
              <w:spacing w:before="0"/>
              <w:rPr>
                <w:rFonts w:ascii="Times New Roman" w:eastAsia="PMingLiU" w:hAnsi="Times New Roman"/>
                <w:sz w:val="24"/>
              </w:rPr>
            </w:pPr>
            <w:r>
              <w:rPr>
                <w:rFonts w:ascii="Times New Roman" w:hAnsi="Times New Roman"/>
                <w:sz w:val="24"/>
              </w:rPr>
              <w:t>1120</w:t>
            </w:r>
          </w:p>
        </w:tc>
        <w:tc>
          <w:tcPr>
            <w:tcW w:w="7371" w:type="dxa"/>
            <w:shd w:val="clear" w:color="auto" w:fill="FFFFFF"/>
          </w:tcPr>
          <w:p w14:paraId="24C2894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1.7.4.1. Των οποίων οι εξασφαλίσεις που ανταλλάσσονται πληρούν τις λειτουργικές απαιτήσεις</w:t>
            </w:r>
          </w:p>
          <w:p w14:paraId="0E581645" w14:textId="559E6D39"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1.7.4. τα πιστωτικά ιδρύματα αναφέρουν:</w:t>
            </w:r>
          </w:p>
          <w:p w14:paraId="51996227" w14:textId="185A4B11"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παρέχεται ως δάνειο το οποίο,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26DA5A12" w14:textId="5AFE9CE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467DAB24" w14:textId="77777777" w:rsidTr="0039321F">
        <w:tc>
          <w:tcPr>
            <w:tcW w:w="703" w:type="dxa"/>
            <w:shd w:val="clear" w:color="auto" w:fill="FFFFFF"/>
            <w:vAlign w:val="center"/>
          </w:tcPr>
          <w:p w14:paraId="156F9A55" w14:textId="0099D396" w:rsidR="00F71050" w:rsidRPr="000B6B22" w:rsidRDefault="00AD7441">
            <w:pPr>
              <w:spacing w:before="0"/>
              <w:rPr>
                <w:rFonts w:ascii="Times New Roman" w:eastAsia="PMingLiU" w:hAnsi="Times New Roman"/>
                <w:sz w:val="24"/>
              </w:rPr>
            </w:pPr>
            <w:r>
              <w:rPr>
                <w:rFonts w:ascii="Times New Roman" w:hAnsi="Times New Roman"/>
                <w:sz w:val="24"/>
              </w:rPr>
              <w:t>1130</w:t>
            </w:r>
          </w:p>
        </w:tc>
        <w:tc>
          <w:tcPr>
            <w:tcW w:w="7371" w:type="dxa"/>
            <w:shd w:val="clear" w:color="auto" w:fill="FFFFFF"/>
          </w:tcPr>
          <w:p w14:paraId="5D382177" w14:textId="74D6EA1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1.7.5. Επιπέδου 2Β υψηλής ποιότητας καλυμμένα ομόλογα</w:t>
            </w:r>
          </w:p>
          <w:p w14:paraId="45DCE658" w14:textId="5C2BBED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άλλα στοιχεία επιπέδου 2Β (που παρέχονται ως δάνειο) με υψηλής ποιότητας καλυμμένα ομόλογα επιπέδου 2Β (που λαμβάνονται ως δάνειο).</w:t>
            </w:r>
          </w:p>
        </w:tc>
      </w:tr>
      <w:tr w:rsidR="00B47B7D" w:rsidRPr="000B6B22" w14:paraId="51946C1F" w14:textId="77777777" w:rsidTr="0039321F">
        <w:tc>
          <w:tcPr>
            <w:tcW w:w="703" w:type="dxa"/>
            <w:shd w:val="clear" w:color="auto" w:fill="FFFFFF"/>
            <w:vAlign w:val="center"/>
          </w:tcPr>
          <w:p w14:paraId="5E1B5081" w14:textId="2856C5E9" w:rsidR="00F71050" w:rsidRPr="000B6B22" w:rsidRDefault="00AD7441">
            <w:pPr>
              <w:spacing w:before="0"/>
              <w:rPr>
                <w:rFonts w:ascii="Times New Roman" w:eastAsia="PMingLiU" w:hAnsi="Times New Roman"/>
                <w:sz w:val="24"/>
              </w:rPr>
            </w:pPr>
            <w:r>
              <w:rPr>
                <w:rFonts w:ascii="Times New Roman" w:hAnsi="Times New Roman"/>
                <w:sz w:val="24"/>
              </w:rPr>
              <w:t>1140</w:t>
            </w:r>
          </w:p>
        </w:tc>
        <w:tc>
          <w:tcPr>
            <w:tcW w:w="7371" w:type="dxa"/>
            <w:shd w:val="clear" w:color="auto" w:fill="FFFFFF"/>
          </w:tcPr>
          <w:p w14:paraId="58EC493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1.7.5.1. Των οποίων οι εξασφαλίσεις που ανταλλάσσονται πληρούν τις λειτουργικές απαιτήσεις</w:t>
            </w:r>
          </w:p>
          <w:p w14:paraId="2C6A94E5" w14:textId="41EB004F"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1.7.5. τα πιστωτικά ιδρύματα αναφέρουν:</w:t>
            </w:r>
          </w:p>
          <w:p w14:paraId="06A93271" w14:textId="1545A70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παρέχεται ως δάνειο το οποίο,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4DE126A5" w14:textId="2C26B99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38DAAA18" w14:textId="77777777" w:rsidTr="0039321F">
        <w:tc>
          <w:tcPr>
            <w:tcW w:w="703" w:type="dxa"/>
            <w:shd w:val="clear" w:color="auto" w:fill="FFFFFF"/>
            <w:vAlign w:val="center"/>
          </w:tcPr>
          <w:p w14:paraId="4604B57B" w14:textId="23F339C3" w:rsidR="00F71050" w:rsidRPr="000B6B22" w:rsidRDefault="00AD7441">
            <w:pPr>
              <w:spacing w:before="0"/>
              <w:rPr>
                <w:rFonts w:ascii="Times New Roman" w:eastAsia="PMingLiU" w:hAnsi="Times New Roman"/>
                <w:sz w:val="24"/>
              </w:rPr>
            </w:pPr>
            <w:r>
              <w:rPr>
                <w:rFonts w:ascii="Times New Roman" w:hAnsi="Times New Roman"/>
                <w:sz w:val="24"/>
              </w:rPr>
              <w:t>1150</w:t>
            </w:r>
          </w:p>
        </w:tc>
        <w:tc>
          <w:tcPr>
            <w:tcW w:w="7371" w:type="dxa"/>
            <w:shd w:val="clear" w:color="auto" w:fill="FFFFFF"/>
          </w:tcPr>
          <w:p w14:paraId="1972A07E" w14:textId="64AA0F0C"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1.7.6. Επιπέδου 2Β τίτλοι από τιτλοποίηση (εμπορικά δάνεια ή δάνεια σε ιδιώτες, κράτος μέλος, ΒΠΠ1)</w:t>
            </w:r>
          </w:p>
          <w:p w14:paraId="20996C40" w14:textId="65A6140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Συναλλαγές κατά τις οποίες το ίδρυμα έχει ανταλλάξει άλλα στοιχεία επιπέδου 2Β (που παρέχονται ως δάνειο) με τίτλους από τιτλοποίηση </w:t>
            </w:r>
            <w:r>
              <w:rPr>
                <w:rFonts w:ascii="Times New Roman" w:hAnsi="Times New Roman"/>
                <w:sz w:val="24"/>
              </w:rPr>
              <w:lastRenderedPageBreak/>
              <w:t>επιπέδου 2Β (εμπορικά δάνεια ή δάνεια σε ιδιώτες, κράτος μέλος, ΒΠΠ1) (που λαμβάνονται ως δάνειο).</w:t>
            </w:r>
          </w:p>
        </w:tc>
      </w:tr>
      <w:tr w:rsidR="00B47B7D" w:rsidRPr="000B6B22" w14:paraId="574615E5" w14:textId="77777777" w:rsidTr="0039321F">
        <w:tc>
          <w:tcPr>
            <w:tcW w:w="703" w:type="dxa"/>
            <w:shd w:val="clear" w:color="auto" w:fill="FFFFFF"/>
            <w:vAlign w:val="center"/>
          </w:tcPr>
          <w:p w14:paraId="37BC2234" w14:textId="44FBC312" w:rsidR="00F71050" w:rsidRPr="000B6B22" w:rsidRDefault="00AD7441">
            <w:pPr>
              <w:spacing w:before="0"/>
              <w:rPr>
                <w:rFonts w:ascii="Times New Roman" w:eastAsia="PMingLiU" w:hAnsi="Times New Roman"/>
                <w:sz w:val="24"/>
              </w:rPr>
            </w:pPr>
            <w:r>
              <w:rPr>
                <w:rFonts w:ascii="Times New Roman" w:hAnsi="Times New Roman"/>
                <w:sz w:val="24"/>
              </w:rPr>
              <w:lastRenderedPageBreak/>
              <w:t>1160</w:t>
            </w:r>
          </w:p>
        </w:tc>
        <w:tc>
          <w:tcPr>
            <w:tcW w:w="7371" w:type="dxa"/>
            <w:shd w:val="clear" w:color="auto" w:fill="FFFFFF"/>
          </w:tcPr>
          <w:p w14:paraId="4778E34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1.7.6.1. Των οποίων οι εξασφαλίσεις που ανταλλάσσονται πληρούν τις λειτουργικές απαιτήσεις</w:t>
            </w:r>
          </w:p>
          <w:p w14:paraId="4392A30A" w14:textId="2F5C076C"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1.7.6. τα πιστωτικά ιδρύματα αναφέρουν:</w:t>
            </w:r>
          </w:p>
          <w:p w14:paraId="7F57745D" w14:textId="789585C2"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παρέχεται ως δάνειο το οποίο,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0D8F8DF8" w14:textId="1B39674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50678501" w14:textId="77777777" w:rsidTr="0039321F">
        <w:tc>
          <w:tcPr>
            <w:tcW w:w="703" w:type="dxa"/>
            <w:shd w:val="clear" w:color="auto" w:fill="FFFFFF"/>
            <w:vAlign w:val="center"/>
          </w:tcPr>
          <w:p w14:paraId="36C2D1E0" w14:textId="097767D7" w:rsidR="00F71050" w:rsidRPr="000B6B22" w:rsidRDefault="00AD7441">
            <w:pPr>
              <w:spacing w:before="0"/>
              <w:rPr>
                <w:rFonts w:ascii="Times New Roman" w:eastAsia="PMingLiU" w:hAnsi="Times New Roman"/>
                <w:sz w:val="24"/>
              </w:rPr>
            </w:pPr>
            <w:r>
              <w:rPr>
                <w:rFonts w:ascii="Times New Roman" w:hAnsi="Times New Roman"/>
                <w:sz w:val="24"/>
              </w:rPr>
              <w:t>1170</w:t>
            </w:r>
          </w:p>
        </w:tc>
        <w:tc>
          <w:tcPr>
            <w:tcW w:w="7371" w:type="dxa"/>
            <w:shd w:val="clear" w:color="auto" w:fill="FFFFFF"/>
          </w:tcPr>
          <w:p w14:paraId="20D4EAA1" w14:textId="043BD5C1"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1.7.7. Άλλα στοιχεία ενεργητικού επιπέδου 2Β</w:t>
            </w:r>
          </w:p>
          <w:p w14:paraId="7F7897E1" w14:textId="112B91A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άλλα στοιχεία επιπέδου 2Β (που παρέχονται ως δάνειο) με άλλα στοιχεία επιπέδου 2Β (που λαμβάνονται ως δάνειο).</w:t>
            </w:r>
          </w:p>
        </w:tc>
      </w:tr>
      <w:tr w:rsidR="00B47B7D" w:rsidRPr="000B6B22" w14:paraId="4487BDC7" w14:textId="77777777" w:rsidTr="0039321F">
        <w:tc>
          <w:tcPr>
            <w:tcW w:w="703" w:type="dxa"/>
            <w:shd w:val="clear" w:color="auto" w:fill="FFFFFF"/>
            <w:vAlign w:val="center"/>
          </w:tcPr>
          <w:p w14:paraId="2E66515B" w14:textId="44D75A41" w:rsidR="00F71050" w:rsidRPr="000B6B22" w:rsidRDefault="00AD7441">
            <w:pPr>
              <w:spacing w:before="0"/>
              <w:rPr>
                <w:rFonts w:ascii="Times New Roman" w:eastAsia="PMingLiU" w:hAnsi="Times New Roman"/>
                <w:sz w:val="24"/>
              </w:rPr>
            </w:pPr>
            <w:r>
              <w:rPr>
                <w:rFonts w:ascii="Times New Roman" w:hAnsi="Times New Roman"/>
                <w:sz w:val="24"/>
              </w:rPr>
              <w:t>1180</w:t>
            </w:r>
          </w:p>
        </w:tc>
        <w:tc>
          <w:tcPr>
            <w:tcW w:w="7371" w:type="dxa"/>
            <w:shd w:val="clear" w:color="auto" w:fill="FFFFFF"/>
          </w:tcPr>
          <w:p w14:paraId="264BC94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1.7.7.1. Των οποίων οι εξασφαλίσεις που ανταλλάσσονται πληρούν τις λειτουργικές απαιτήσεις</w:t>
            </w:r>
          </w:p>
          <w:p w14:paraId="5A4A34E3" w14:textId="4F7E63AB"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1.7.7. τα πιστωτικά ιδρύματα αναφέρουν:</w:t>
            </w:r>
          </w:p>
          <w:p w14:paraId="6BF8B6A1" w14:textId="3EC267F8"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παρέχεται ως δάνειο το οποίο,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28B861AC" w14:textId="431B6E8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77EA1465" w14:textId="77777777" w:rsidTr="0039321F">
        <w:tc>
          <w:tcPr>
            <w:tcW w:w="703" w:type="dxa"/>
            <w:shd w:val="clear" w:color="auto" w:fill="FFFFFF"/>
            <w:vAlign w:val="center"/>
          </w:tcPr>
          <w:p w14:paraId="26886146" w14:textId="14AE3D77" w:rsidR="00F71050" w:rsidRPr="000B6B22" w:rsidRDefault="00AD7441">
            <w:pPr>
              <w:spacing w:before="0"/>
              <w:rPr>
                <w:rFonts w:ascii="Times New Roman" w:eastAsia="PMingLiU" w:hAnsi="Times New Roman"/>
                <w:sz w:val="24"/>
              </w:rPr>
            </w:pPr>
            <w:r>
              <w:rPr>
                <w:rFonts w:ascii="Times New Roman" w:hAnsi="Times New Roman"/>
                <w:sz w:val="24"/>
              </w:rPr>
              <w:t>1190</w:t>
            </w:r>
          </w:p>
        </w:tc>
        <w:tc>
          <w:tcPr>
            <w:tcW w:w="7371" w:type="dxa"/>
            <w:shd w:val="clear" w:color="auto" w:fill="FFFFFF"/>
          </w:tcPr>
          <w:p w14:paraId="34A680DC" w14:textId="0E6D3925"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1.7.8. Μη ρευστά στοιχεία ενεργητικού</w:t>
            </w:r>
          </w:p>
          <w:p w14:paraId="06EAC73D" w14:textId="26E08D4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άλλα στοιχεία επιπέδου 2Β (που παρέχονται ως δάνειο) με μη ρευστά στοιχεία ενεργητικού (που λαμβάνονται ως δάνειο).</w:t>
            </w:r>
          </w:p>
        </w:tc>
      </w:tr>
      <w:tr w:rsidR="00B47B7D" w:rsidRPr="000B6B22" w14:paraId="271D3CD2" w14:textId="77777777" w:rsidTr="0039321F">
        <w:tc>
          <w:tcPr>
            <w:tcW w:w="703" w:type="dxa"/>
            <w:shd w:val="clear" w:color="auto" w:fill="auto"/>
            <w:vAlign w:val="center"/>
          </w:tcPr>
          <w:p w14:paraId="6A1D7175" w14:textId="7B78CD80" w:rsidR="00F71050" w:rsidRPr="000B6B22" w:rsidRDefault="00AD7441">
            <w:pPr>
              <w:spacing w:before="0"/>
              <w:rPr>
                <w:rFonts w:ascii="Times New Roman" w:eastAsia="PMingLiU" w:hAnsi="Times New Roman"/>
                <w:sz w:val="24"/>
              </w:rPr>
            </w:pPr>
            <w:r>
              <w:rPr>
                <w:rFonts w:ascii="Times New Roman" w:hAnsi="Times New Roman"/>
                <w:sz w:val="24"/>
              </w:rPr>
              <w:t>1200</w:t>
            </w:r>
          </w:p>
        </w:tc>
        <w:tc>
          <w:tcPr>
            <w:tcW w:w="7371" w:type="dxa"/>
            <w:shd w:val="clear" w:color="auto" w:fill="auto"/>
          </w:tcPr>
          <w:p w14:paraId="06967EA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1.7.8.1. Των οποίων οι εξασφαλίσεις που ανταλλάσσονται πληρούν τις λειτουργικές απαιτήσεις</w:t>
            </w:r>
          </w:p>
          <w:p w14:paraId="047211B0" w14:textId="0F97D3FA"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Από τις συναλλαγές που αναφέρονται στο σημείο 1.7.8., τα πιστωτικά ιδρύματα αναφέρουν το σκέλος της εξασφάλισης που παρέχεται ως δάνειο το οποίο,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w:t>
            </w:r>
          </w:p>
        </w:tc>
      </w:tr>
      <w:tr w:rsidR="00B47B7D" w:rsidRPr="000B6B22" w14:paraId="5F38A0CA" w14:textId="77777777" w:rsidTr="0039321F">
        <w:tc>
          <w:tcPr>
            <w:tcW w:w="703" w:type="dxa"/>
            <w:shd w:val="clear" w:color="auto" w:fill="auto"/>
            <w:vAlign w:val="center"/>
          </w:tcPr>
          <w:p w14:paraId="27B2FA64" w14:textId="6470AE72" w:rsidR="00F71050" w:rsidRPr="000B6B22" w:rsidRDefault="00AD7441">
            <w:pPr>
              <w:spacing w:before="0"/>
              <w:rPr>
                <w:rFonts w:ascii="Times New Roman" w:eastAsia="PMingLiU" w:hAnsi="Times New Roman"/>
                <w:sz w:val="24"/>
              </w:rPr>
            </w:pPr>
            <w:r>
              <w:rPr>
                <w:rFonts w:ascii="Times New Roman" w:hAnsi="Times New Roman"/>
                <w:sz w:val="24"/>
              </w:rPr>
              <w:t>1210</w:t>
            </w:r>
          </w:p>
        </w:tc>
        <w:tc>
          <w:tcPr>
            <w:tcW w:w="7371" w:type="dxa"/>
            <w:shd w:val="clear" w:color="auto" w:fill="auto"/>
          </w:tcPr>
          <w:p w14:paraId="652143F0" w14:textId="4EABDDBC" w:rsidR="00F71050" w:rsidRPr="000B6B22" w:rsidRDefault="00F71050" w:rsidP="009D4EFF">
            <w:pPr>
              <w:spacing w:before="0"/>
              <w:ind w:left="-84"/>
              <w:rPr>
                <w:rFonts w:ascii="Times New Roman" w:eastAsia="PMingLiU" w:hAnsi="Times New Roman"/>
                <w:sz w:val="24"/>
              </w:rPr>
            </w:pPr>
            <w:r>
              <w:rPr>
                <w:rFonts w:ascii="Times New Roman" w:hAnsi="Times New Roman"/>
                <w:b/>
                <w:sz w:val="24"/>
              </w:rPr>
              <w:t>1.8. Σύνολα συναλλαγών κατά τις οποίες μη ρευστά στοιχεία ενεργητικού παρέχονται ως δάνειο και οι ακόλουθες εξασφαλίσεις λαμβάνονται ως δάνειο:</w:t>
            </w:r>
          </w:p>
          <w:p w14:paraId="48382986" w14:textId="4E552737"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lastRenderedPageBreak/>
              <w:t>Άρθρο 28 παράγραφος 4 και άρθρο 32 παράγραφος 3 του κατ’ εξουσιοδότηση κανονισμού (ΕΕ) 2015/61</w:t>
            </w:r>
          </w:p>
          <w:p w14:paraId="3246BFCB" w14:textId="199DA766"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Τα πιστωτικά ιδρύματα αναφέρουν εδώ, για τις σχετικές στήλες, τις συνολικές αξίες των πράξεων ανταλλαγής εξασφαλίσεων για συναλλαγές κατά τις οποίες μη ρευστά στοιχεία ενεργητικού παρέχονται ως δάνειο.</w:t>
            </w:r>
          </w:p>
        </w:tc>
      </w:tr>
      <w:tr w:rsidR="00B47B7D" w:rsidRPr="000B6B22" w14:paraId="6307019A" w14:textId="77777777" w:rsidTr="0039321F">
        <w:tc>
          <w:tcPr>
            <w:tcW w:w="703" w:type="dxa"/>
            <w:shd w:val="clear" w:color="auto" w:fill="FFFFFF"/>
            <w:vAlign w:val="center"/>
          </w:tcPr>
          <w:p w14:paraId="1A7D619E" w14:textId="51E12A7F" w:rsidR="00F71050" w:rsidRPr="000B6B22" w:rsidRDefault="00AD7441">
            <w:pPr>
              <w:spacing w:before="0"/>
              <w:rPr>
                <w:rFonts w:ascii="Times New Roman" w:eastAsia="PMingLiU" w:hAnsi="Times New Roman"/>
                <w:sz w:val="24"/>
              </w:rPr>
            </w:pPr>
            <w:r>
              <w:rPr>
                <w:rFonts w:ascii="Times New Roman" w:hAnsi="Times New Roman"/>
                <w:sz w:val="24"/>
              </w:rPr>
              <w:lastRenderedPageBreak/>
              <w:t>1220</w:t>
            </w:r>
          </w:p>
        </w:tc>
        <w:tc>
          <w:tcPr>
            <w:tcW w:w="7371" w:type="dxa"/>
            <w:shd w:val="clear" w:color="auto" w:fill="FFFFFF"/>
          </w:tcPr>
          <w:p w14:paraId="5716A40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1.8.1. Στοιχεία ενεργητικού επιπέδου 1 (εξαιρουμένων των ΕΥΠ καλυμμένων ομολόγων)</w:t>
            </w:r>
          </w:p>
          <w:p w14:paraId="65D2CCC8" w14:textId="379B6900"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μη ρευστά στοιχεία ενεργητικού (που παρέχονται ως δάνειο) με στοιχεία ενεργητικού επιπέδου 1 εξαιρουμένων των ΕΥΠ καλυμμένων ομολόγων (που λαμβάνονται ως δάνειο).</w:t>
            </w:r>
          </w:p>
        </w:tc>
      </w:tr>
      <w:tr w:rsidR="00B47B7D" w:rsidRPr="000B6B22" w14:paraId="1D3733CC" w14:textId="77777777" w:rsidTr="0039321F">
        <w:tc>
          <w:tcPr>
            <w:tcW w:w="703" w:type="dxa"/>
            <w:shd w:val="clear" w:color="auto" w:fill="FFFFFF"/>
            <w:vAlign w:val="center"/>
          </w:tcPr>
          <w:p w14:paraId="1ED54ED5" w14:textId="4628373B" w:rsidR="00F71050" w:rsidRPr="000B6B22" w:rsidRDefault="00AD7441">
            <w:pPr>
              <w:spacing w:before="0"/>
              <w:rPr>
                <w:rFonts w:ascii="Times New Roman" w:eastAsia="PMingLiU" w:hAnsi="Times New Roman"/>
                <w:sz w:val="24"/>
              </w:rPr>
            </w:pPr>
            <w:r>
              <w:rPr>
                <w:rFonts w:ascii="Times New Roman" w:hAnsi="Times New Roman"/>
                <w:sz w:val="24"/>
              </w:rPr>
              <w:t>1230</w:t>
            </w:r>
          </w:p>
        </w:tc>
        <w:tc>
          <w:tcPr>
            <w:tcW w:w="7371" w:type="dxa"/>
            <w:shd w:val="clear" w:color="auto" w:fill="FFFFFF"/>
          </w:tcPr>
          <w:p w14:paraId="783E0BB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1.8.1.1. Των οποίων οι εξασφαλίσεις που ανταλλάσσονται πληρούν τις λειτουργικές απαιτήσεις</w:t>
            </w:r>
          </w:p>
          <w:p w14:paraId="191D89AB" w14:textId="6017EAD5"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Από τις συναλλαγές που αναφέρονται στο σημείο 1.8.1., τα πιστωτικά ιδρύματα αναφέρουν 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041A3742" w14:textId="77777777" w:rsidTr="0039321F">
        <w:tc>
          <w:tcPr>
            <w:tcW w:w="703" w:type="dxa"/>
            <w:shd w:val="clear" w:color="auto" w:fill="FFFFFF"/>
            <w:vAlign w:val="center"/>
          </w:tcPr>
          <w:p w14:paraId="69CAE84E" w14:textId="0FDBBE42" w:rsidR="00F71050" w:rsidRPr="000B6B22" w:rsidRDefault="00AD7441">
            <w:pPr>
              <w:spacing w:before="0"/>
              <w:rPr>
                <w:rFonts w:ascii="Times New Roman" w:eastAsia="PMingLiU" w:hAnsi="Times New Roman"/>
                <w:sz w:val="24"/>
              </w:rPr>
            </w:pPr>
            <w:r>
              <w:rPr>
                <w:rFonts w:ascii="Times New Roman" w:hAnsi="Times New Roman"/>
                <w:sz w:val="24"/>
              </w:rPr>
              <w:t>1240</w:t>
            </w:r>
          </w:p>
        </w:tc>
        <w:tc>
          <w:tcPr>
            <w:tcW w:w="7371" w:type="dxa"/>
            <w:shd w:val="clear" w:color="auto" w:fill="FFFFFF"/>
          </w:tcPr>
          <w:p w14:paraId="12C8F832" w14:textId="1098D24F"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1.8.2. Επιπέδου 1 εξαιρετικά υψηλής ποιότητας καλυμμένα ομόλογα</w:t>
            </w:r>
          </w:p>
          <w:p w14:paraId="196CF5B1" w14:textId="245A87AA"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Συναλλαγές κατά τις οποίες το ίδρυμα έχει ανταλλάξει μη ρευστά στοιχεία ενεργητικού (που παρέχονται ως δάνειο) με επιπέδου 1 εξαιρετικά υψηλής ποιότητας καλυμμένα ομόλογα (που λαμβάνονται ως δάνειο).</w:t>
            </w:r>
          </w:p>
        </w:tc>
      </w:tr>
      <w:tr w:rsidR="00B47B7D" w:rsidRPr="000B6B22" w14:paraId="78D70E69" w14:textId="77777777" w:rsidTr="0039321F">
        <w:tc>
          <w:tcPr>
            <w:tcW w:w="703" w:type="dxa"/>
            <w:shd w:val="clear" w:color="auto" w:fill="FFFFFF"/>
            <w:vAlign w:val="center"/>
          </w:tcPr>
          <w:p w14:paraId="7CC69C0A" w14:textId="7C1EAC0F" w:rsidR="00F71050" w:rsidRPr="000B6B22" w:rsidRDefault="00AD7441">
            <w:pPr>
              <w:spacing w:before="0"/>
              <w:rPr>
                <w:rFonts w:ascii="Times New Roman" w:eastAsia="PMingLiU" w:hAnsi="Times New Roman"/>
                <w:sz w:val="24"/>
              </w:rPr>
            </w:pPr>
            <w:r>
              <w:rPr>
                <w:rFonts w:ascii="Times New Roman" w:hAnsi="Times New Roman"/>
                <w:sz w:val="24"/>
              </w:rPr>
              <w:t>1250</w:t>
            </w:r>
          </w:p>
        </w:tc>
        <w:tc>
          <w:tcPr>
            <w:tcW w:w="7371" w:type="dxa"/>
            <w:shd w:val="clear" w:color="auto" w:fill="FFFFFF"/>
          </w:tcPr>
          <w:p w14:paraId="6A5D2D4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1.8.2.1. Των οποίων οι εξασφαλίσεις που ανταλλάσσονται πληρούν τις λειτουργικές απαιτήσεις</w:t>
            </w:r>
          </w:p>
          <w:p w14:paraId="34429190" w14:textId="0D19AA9E"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Από τις συναλλαγές που αναφέρονται στο σημείο 1.8.2., τα πιστωτικά ιδρύματα αναφέρουν 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35AC1500" w14:textId="77777777" w:rsidTr="0039321F">
        <w:tc>
          <w:tcPr>
            <w:tcW w:w="703" w:type="dxa"/>
            <w:shd w:val="clear" w:color="auto" w:fill="FFFFFF"/>
            <w:vAlign w:val="center"/>
          </w:tcPr>
          <w:p w14:paraId="6D50CED3" w14:textId="3FBBC398" w:rsidR="00F71050" w:rsidRPr="000B6B22" w:rsidRDefault="00AD7441">
            <w:pPr>
              <w:spacing w:before="0"/>
              <w:rPr>
                <w:rFonts w:ascii="Times New Roman" w:eastAsia="PMingLiU" w:hAnsi="Times New Roman"/>
                <w:sz w:val="24"/>
              </w:rPr>
            </w:pPr>
            <w:r>
              <w:rPr>
                <w:rFonts w:ascii="Times New Roman" w:hAnsi="Times New Roman"/>
                <w:sz w:val="24"/>
              </w:rPr>
              <w:t>1260</w:t>
            </w:r>
          </w:p>
        </w:tc>
        <w:tc>
          <w:tcPr>
            <w:tcW w:w="7371" w:type="dxa"/>
            <w:shd w:val="clear" w:color="auto" w:fill="FFFFFF"/>
          </w:tcPr>
          <w:p w14:paraId="440EF8F7" w14:textId="40133DB4"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1.8.3. Στοιχεία ενεργητικού επιπέδου 2Α</w:t>
            </w:r>
          </w:p>
          <w:p w14:paraId="6A50B7E7" w14:textId="6848320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μη ρευστά στοιχεία ενεργητικού (που παρέχονται ως δάνειο) με στοιχεία ενεργητικού επιπέδου 2Α (που λαμβάνονται ως δάνειο).</w:t>
            </w:r>
          </w:p>
        </w:tc>
      </w:tr>
      <w:tr w:rsidR="00B47B7D" w:rsidRPr="000B6B22" w14:paraId="543B9AD9" w14:textId="77777777" w:rsidTr="0039321F">
        <w:tc>
          <w:tcPr>
            <w:tcW w:w="703" w:type="dxa"/>
            <w:shd w:val="clear" w:color="auto" w:fill="FFFFFF"/>
            <w:vAlign w:val="center"/>
          </w:tcPr>
          <w:p w14:paraId="25AE730C" w14:textId="214B79B5" w:rsidR="00F71050" w:rsidRPr="000B6B22" w:rsidRDefault="00AD7441">
            <w:pPr>
              <w:spacing w:before="0"/>
              <w:rPr>
                <w:rFonts w:ascii="Times New Roman" w:eastAsia="PMingLiU" w:hAnsi="Times New Roman"/>
                <w:sz w:val="24"/>
              </w:rPr>
            </w:pPr>
            <w:r>
              <w:rPr>
                <w:rFonts w:ascii="Times New Roman" w:hAnsi="Times New Roman"/>
                <w:sz w:val="24"/>
              </w:rPr>
              <w:t>1270</w:t>
            </w:r>
          </w:p>
        </w:tc>
        <w:tc>
          <w:tcPr>
            <w:tcW w:w="7371" w:type="dxa"/>
            <w:shd w:val="clear" w:color="auto" w:fill="FFFFFF"/>
          </w:tcPr>
          <w:p w14:paraId="3080693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1.8.3.1. Των οποίων οι εξασφαλίσεις που ανταλλάσσονται πληρούν τις λειτουργικές απαιτήσεις</w:t>
            </w:r>
          </w:p>
          <w:p w14:paraId="5EC204B6" w14:textId="31AB5E64"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Από τις συναλλαγές που αναφέρονται στο σημείο 1.8.3., τα πιστωτικά ιδρύματα αναφέρουν 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23999962" w14:textId="77777777" w:rsidTr="0039321F">
        <w:tc>
          <w:tcPr>
            <w:tcW w:w="703" w:type="dxa"/>
            <w:shd w:val="clear" w:color="auto" w:fill="FFFFFF"/>
            <w:vAlign w:val="center"/>
          </w:tcPr>
          <w:p w14:paraId="0DB063C8" w14:textId="6788E646" w:rsidR="00F71050" w:rsidRPr="000B6B22" w:rsidRDefault="00AD7441">
            <w:pPr>
              <w:spacing w:before="0"/>
              <w:rPr>
                <w:rFonts w:ascii="Times New Roman" w:eastAsia="PMingLiU" w:hAnsi="Times New Roman"/>
                <w:sz w:val="24"/>
              </w:rPr>
            </w:pPr>
            <w:r>
              <w:rPr>
                <w:rFonts w:ascii="Times New Roman" w:hAnsi="Times New Roman"/>
                <w:sz w:val="24"/>
              </w:rPr>
              <w:t>1280</w:t>
            </w:r>
          </w:p>
        </w:tc>
        <w:tc>
          <w:tcPr>
            <w:tcW w:w="7371" w:type="dxa"/>
            <w:shd w:val="clear" w:color="auto" w:fill="FFFFFF"/>
          </w:tcPr>
          <w:p w14:paraId="254A5A0B" w14:textId="34B31393"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1.8.4. Επιπέδου 2Β τίτλοι από τιτλοποίηση (στεγαστικά δάνεια ή δάνεια για αγορά αυτοκινήτου, ΒΠΠ1)</w:t>
            </w:r>
          </w:p>
          <w:p w14:paraId="6371E636" w14:textId="666428B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μη ρευστά στοιχεία ενεργητικού (που παρέχονται ως δάνειο) με τίτλους από τιτλοποίηση επιπέδου 2Β (στεγαστικά δάνεια ή δάνεια αγοράς αυτοκινήτου, ΒΠΠ1) (που λαμβάνονται ως δάνειο).</w:t>
            </w:r>
          </w:p>
        </w:tc>
      </w:tr>
      <w:tr w:rsidR="00B47B7D" w:rsidRPr="000B6B22" w14:paraId="3CCD4E06" w14:textId="77777777" w:rsidTr="0039321F">
        <w:tc>
          <w:tcPr>
            <w:tcW w:w="703" w:type="dxa"/>
            <w:shd w:val="clear" w:color="auto" w:fill="FFFFFF"/>
            <w:vAlign w:val="center"/>
          </w:tcPr>
          <w:p w14:paraId="569E106E" w14:textId="09F6FD40" w:rsidR="00F71050" w:rsidRPr="000B6B22" w:rsidRDefault="00AD7441">
            <w:pPr>
              <w:spacing w:before="0"/>
              <w:rPr>
                <w:rFonts w:ascii="Times New Roman" w:eastAsia="PMingLiU" w:hAnsi="Times New Roman"/>
                <w:sz w:val="24"/>
              </w:rPr>
            </w:pPr>
            <w:r>
              <w:rPr>
                <w:rFonts w:ascii="Times New Roman" w:hAnsi="Times New Roman"/>
                <w:sz w:val="24"/>
              </w:rPr>
              <w:lastRenderedPageBreak/>
              <w:t>1290</w:t>
            </w:r>
          </w:p>
        </w:tc>
        <w:tc>
          <w:tcPr>
            <w:tcW w:w="7371" w:type="dxa"/>
            <w:shd w:val="clear" w:color="auto" w:fill="FFFFFF"/>
          </w:tcPr>
          <w:p w14:paraId="08E91EE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1.8.4.1. Των οποίων οι εξασφαλίσεις που ανταλλάσσονται πληρούν τις λειτουργικές απαιτήσεις</w:t>
            </w:r>
          </w:p>
          <w:p w14:paraId="097085E5" w14:textId="6EEC0171"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Από τις συναλλαγές που αναφέρονται στο σημείο 1.8.4., τα πιστωτικά ιδρύματα αναφέρουν 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099A99FA" w14:textId="77777777" w:rsidTr="0039321F">
        <w:tc>
          <w:tcPr>
            <w:tcW w:w="703" w:type="dxa"/>
            <w:shd w:val="clear" w:color="auto" w:fill="FFFFFF"/>
            <w:vAlign w:val="center"/>
          </w:tcPr>
          <w:p w14:paraId="2B371FFC" w14:textId="635E305A" w:rsidR="00F71050" w:rsidRPr="000B6B22" w:rsidRDefault="00AD7441">
            <w:pPr>
              <w:spacing w:before="0"/>
              <w:rPr>
                <w:rFonts w:ascii="Times New Roman" w:eastAsia="PMingLiU" w:hAnsi="Times New Roman"/>
                <w:sz w:val="24"/>
              </w:rPr>
            </w:pPr>
            <w:r>
              <w:rPr>
                <w:rFonts w:ascii="Times New Roman" w:hAnsi="Times New Roman"/>
                <w:sz w:val="24"/>
              </w:rPr>
              <w:t>1300</w:t>
            </w:r>
          </w:p>
        </w:tc>
        <w:tc>
          <w:tcPr>
            <w:tcW w:w="7371" w:type="dxa"/>
            <w:shd w:val="clear" w:color="auto" w:fill="FFFFFF"/>
          </w:tcPr>
          <w:p w14:paraId="7CD2DE49"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1.8.5. Επιπέδου 2Β υψηλής ποιότητας καλυμμένα ομόλογα</w:t>
            </w:r>
          </w:p>
          <w:p w14:paraId="3EDEEF99" w14:textId="2B569DB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μη ρευστά στοιχεία ενεργητικού (που παρέχονται ως δάνειο) με υψηλής ποιότητας καλυμμένα ομόλογα επιπέδου 2Β (που λαμβάνονται ως δάνειο).</w:t>
            </w:r>
          </w:p>
        </w:tc>
      </w:tr>
      <w:tr w:rsidR="00B47B7D" w:rsidRPr="000B6B22" w14:paraId="79E6A98C" w14:textId="77777777" w:rsidTr="0039321F">
        <w:tc>
          <w:tcPr>
            <w:tcW w:w="703" w:type="dxa"/>
            <w:shd w:val="clear" w:color="auto" w:fill="FFFFFF"/>
            <w:vAlign w:val="center"/>
          </w:tcPr>
          <w:p w14:paraId="0B11B3B0" w14:textId="2F71DE10" w:rsidR="00F71050" w:rsidRPr="000B6B22" w:rsidRDefault="00AD7441">
            <w:pPr>
              <w:spacing w:before="0"/>
              <w:rPr>
                <w:rFonts w:ascii="Times New Roman" w:eastAsia="PMingLiU" w:hAnsi="Times New Roman"/>
                <w:sz w:val="24"/>
              </w:rPr>
            </w:pPr>
            <w:r>
              <w:rPr>
                <w:rFonts w:ascii="Times New Roman" w:hAnsi="Times New Roman"/>
                <w:sz w:val="24"/>
              </w:rPr>
              <w:t>1310</w:t>
            </w:r>
          </w:p>
        </w:tc>
        <w:tc>
          <w:tcPr>
            <w:tcW w:w="7371" w:type="dxa"/>
            <w:shd w:val="clear" w:color="auto" w:fill="FFFFFF"/>
          </w:tcPr>
          <w:p w14:paraId="41270C5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1.8.5.1. Των οποίων οι εξασφαλίσεις που ανταλλάσσονται πληρούν τις λειτουργικές απαιτήσεις</w:t>
            </w:r>
          </w:p>
          <w:p w14:paraId="2768C8A8" w14:textId="6F003E77"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Από τις συναλλαγές που αναφέρονται στο σημείο 1.8.5., τα πιστωτικά ιδρύματα αναφέρουν 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7329D86C" w14:textId="77777777" w:rsidTr="0039321F">
        <w:tc>
          <w:tcPr>
            <w:tcW w:w="703" w:type="dxa"/>
            <w:shd w:val="clear" w:color="auto" w:fill="FFFFFF"/>
            <w:vAlign w:val="center"/>
          </w:tcPr>
          <w:p w14:paraId="21035BDE" w14:textId="3E60DED5" w:rsidR="00F71050" w:rsidRPr="000B6B22" w:rsidRDefault="00AD7441">
            <w:pPr>
              <w:spacing w:before="0"/>
              <w:rPr>
                <w:rFonts w:ascii="Times New Roman" w:eastAsia="PMingLiU" w:hAnsi="Times New Roman"/>
                <w:sz w:val="24"/>
              </w:rPr>
            </w:pPr>
            <w:r>
              <w:rPr>
                <w:rFonts w:ascii="Times New Roman" w:hAnsi="Times New Roman"/>
                <w:sz w:val="24"/>
              </w:rPr>
              <w:t>1320</w:t>
            </w:r>
          </w:p>
        </w:tc>
        <w:tc>
          <w:tcPr>
            <w:tcW w:w="7371" w:type="dxa"/>
            <w:shd w:val="clear" w:color="auto" w:fill="FFFFFF"/>
          </w:tcPr>
          <w:p w14:paraId="1BF27F6F" w14:textId="34ED496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1.8.6. Επιπέδου 2Β τίτλοι από τιτλοποίηση (εμπορικά δάνεια ή δάνεια σε ιδιώτες, κράτος μέλος, ΒΠΠ1)</w:t>
            </w:r>
          </w:p>
          <w:p w14:paraId="09D95F4E" w14:textId="582AB0E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μη ρευστά στοιχεία ενεργητικού (που παρέχονται ως δάνειο) με τίτλους από τιτλοποίηση επιπέδου 2Β (εμπορικά δάνεια ή δάνεια σε ιδιώτες, κράτος μέλος, ΒΠΠ1) (που λαμβάνονται ως δάνειο).</w:t>
            </w:r>
          </w:p>
        </w:tc>
      </w:tr>
      <w:tr w:rsidR="00B47B7D" w:rsidRPr="000B6B22" w14:paraId="2BEDD5F0" w14:textId="77777777" w:rsidTr="0039321F">
        <w:tc>
          <w:tcPr>
            <w:tcW w:w="703" w:type="dxa"/>
            <w:shd w:val="clear" w:color="auto" w:fill="FFFFFF"/>
            <w:vAlign w:val="center"/>
          </w:tcPr>
          <w:p w14:paraId="2760A411" w14:textId="2551751C" w:rsidR="00F71050" w:rsidRPr="000B6B22" w:rsidRDefault="00AD7441">
            <w:pPr>
              <w:spacing w:before="0"/>
              <w:rPr>
                <w:rFonts w:ascii="Times New Roman" w:eastAsia="PMingLiU" w:hAnsi="Times New Roman"/>
                <w:sz w:val="24"/>
              </w:rPr>
            </w:pPr>
            <w:r>
              <w:rPr>
                <w:rFonts w:ascii="Times New Roman" w:hAnsi="Times New Roman"/>
                <w:sz w:val="24"/>
              </w:rPr>
              <w:t>1330</w:t>
            </w:r>
          </w:p>
        </w:tc>
        <w:tc>
          <w:tcPr>
            <w:tcW w:w="7371" w:type="dxa"/>
            <w:shd w:val="clear" w:color="auto" w:fill="FFFFFF"/>
          </w:tcPr>
          <w:p w14:paraId="4182EB5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1.8.6.1. Των οποίων οι εξασφαλίσεις που ανταλλάσσονται πληρούν τις λειτουργικές απαιτήσεις</w:t>
            </w:r>
          </w:p>
          <w:p w14:paraId="2752BB72" w14:textId="1C422CFA"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Από τις συναλλαγές που αναφέρονται στο σημείο 1.8.6., τα πιστωτικά ιδρύματα αναφέρουν 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20683B73" w14:textId="77777777" w:rsidTr="0039321F">
        <w:tc>
          <w:tcPr>
            <w:tcW w:w="703" w:type="dxa"/>
            <w:shd w:val="clear" w:color="auto" w:fill="FFFFFF"/>
            <w:vAlign w:val="center"/>
          </w:tcPr>
          <w:p w14:paraId="5E3523A4" w14:textId="410683F2" w:rsidR="00F71050" w:rsidRPr="000B6B22" w:rsidRDefault="00AD7441">
            <w:pPr>
              <w:spacing w:before="0"/>
              <w:rPr>
                <w:rFonts w:ascii="Times New Roman" w:eastAsia="PMingLiU" w:hAnsi="Times New Roman"/>
                <w:sz w:val="24"/>
              </w:rPr>
            </w:pPr>
            <w:r>
              <w:rPr>
                <w:rFonts w:ascii="Times New Roman" w:hAnsi="Times New Roman"/>
                <w:sz w:val="24"/>
              </w:rPr>
              <w:t>1340</w:t>
            </w:r>
          </w:p>
        </w:tc>
        <w:tc>
          <w:tcPr>
            <w:tcW w:w="7371" w:type="dxa"/>
            <w:shd w:val="clear" w:color="auto" w:fill="FFFFFF"/>
          </w:tcPr>
          <w:p w14:paraId="54F1945D" w14:textId="78D1182E"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1.8.7. Άλλα στοιχεία ενεργητικού επιπέδου 2Β</w:t>
            </w:r>
          </w:p>
          <w:p w14:paraId="64A17090" w14:textId="077BF65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μη ρευστά στοιχεία ενεργητικού (που παρέχονται ως δάνειο) με άλλα στοιχεία επιπέδου 2Β (που λαμβάνονται ως δάνειο).</w:t>
            </w:r>
          </w:p>
        </w:tc>
      </w:tr>
      <w:tr w:rsidR="00B47B7D" w:rsidRPr="000B6B22" w14:paraId="4D96B387" w14:textId="77777777" w:rsidTr="0039321F">
        <w:tc>
          <w:tcPr>
            <w:tcW w:w="703" w:type="dxa"/>
            <w:shd w:val="clear" w:color="auto" w:fill="FFFFFF"/>
            <w:vAlign w:val="center"/>
          </w:tcPr>
          <w:p w14:paraId="59BD7D46" w14:textId="3200AD69" w:rsidR="00F71050" w:rsidRPr="000B6B22" w:rsidRDefault="00AD7441">
            <w:pPr>
              <w:spacing w:before="0"/>
              <w:rPr>
                <w:rFonts w:ascii="Times New Roman" w:eastAsia="PMingLiU" w:hAnsi="Times New Roman"/>
                <w:sz w:val="24"/>
              </w:rPr>
            </w:pPr>
            <w:r>
              <w:rPr>
                <w:rFonts w:ascii="Times New Roman" w:hAnsi="Times New Roman"/>
                <w:sz w:val="24"/>
              </w:rPr>
              <w:t>1350</w:t>
            </w:r>
          </w:p>
        </w:tc>
        <w:tc>
          <w:tcPr>
            <w:tcW w:w="7371" w:type="dxa"/>
            <w:shd w:val="clear" w:color="auto" w:fill="FFFFFF"/>
          </w:tcPr>
          <w:p w14:paraId="557BBFB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1.8.7.1. Των οποίων οι εξασφαλίσεις που ανταλλάσσονται πληρούν τις λειτουργικές απαιτήσεις</w:t>
            </w:r>
          </w:p>
          <w:p w14:paraId="197F8ED1" w14:textId="31C42566"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Από τις συναλλαγές που αναφέρονται στο σημείο 1.8.7., τα πιστωτικά ιδρύματα αναφέρουν 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3E68970A" w14:textId="77777777" w:rsidTr="0039321F">
        <w:tc>
          <w:tcPr>
            <w:tcW w:w="703" w:type="dxa"/>
            <w:shd w:val="clear" w:color="auto" w:fill="FFFFFF"/>
            <w:vAlign w:val="center"/>
          </w:tcPr>
          <w:p w14:paraId="29722673" w14:textId="5F096E75" w:rsidR="00F71050" w:rsidRPr="000B6B22" w:rsidRDefault="00AD7441">
            <w:pPr>
              <w:spacing w:before="0"/>
              <w:rPr>
                <w:rFonts w:ascii="Times New Roman" w:eastAsia="PMingLiU" w:hAnsi="Times New Roman"/>
                <w:sz w:val="24"/>
              </w:rPr>
            </w:pPr>
            <w:r>
              <w:rPr>
                <w:rFonts w:ascii="Times New Roman" w:hAnsi="Times New Roman"/>
                <w:sz w:val="24"/>
              </w:rPr>
              <w:t>1360</w:t>
            </w:r>
          </w:p>
        </w:tc>
        <w:tc>
          <w:tcPr>
            <w:tcW w:w="7371" w:type="dxa"/>
            <w:shd w:val="clear" w:color="auto" w:fill="FFFFFF"/>
          </w:tcPr>
          <w:p w14:paraId="13689DE8" w14:textId="39A51B0D"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1.8.8. Μη ρευστά στοιχεία ενεργητικού</w:t>
            </w:r>
          </w:p>
          <w:p w14:paraId="238B9F3C" w14:textId="6F0DECF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μη ρευστά στοιχεία ενεργητικού (που παρέχονται ως δάνειο) με μη ρευστά στοιχεία ενεργητικού (που λαμβάνονται ως δάνειο).</w:t>
            </w:r>
          </w:p>
        </w:tc>
      </w:tr>
      <w:tr w:rsidR="00B47B7D" w:rsidRPr="000B6B22" w14:paraId="5E8D76A4" w14:textId="77777777" w:rsidTr="0039321F">
        <w:tc>
          <w:tcPr>
            <w:tcW w:w="703" w:type="dxa"/>
            <w:shd w:val="clear" w:color="auto" w:fill="auto"/>
            <w:vAlign w:val="center"/>
          </w:tcPr>
          <w:p w14:paraId="4D773718" w14:textId="07DF6C21" w:rsidR="00F71050" w:rsidRPr="000B6B22" w:rsidRDefault="00AD7441" w:rsidP="009D4EFF">
            <w:pPr>
              <w:spacing w:before="0"/>
              <w:rPr>
                <w:rFonts w:ascii="Times New Roman" w:eastAsia="PMingLiU" w:hAnsi="Times New Roman"/>
                <w:sz w:val="24"/>
              </w:rPr>
            </w:pPr>
            <w:r>
              <w:rPr>
                <w:rFonts w:ascii="Times New Roman" w:hAnsi="Times New Roman"/>
                <w:sz w:val="24"/>
              </w:rPr>
              <w:lastRenderedPageBreak/>
              <w:t>1370</w:t>
            </w:r>
          </w:p>
        </w:tc>
        <w:tc>
          <w:tcPr>
            <w:tcW w:w="7371" w:type="dxa"/>
            <w:shd w:val="clear" w:color="auto" w:fill="auto"/>
          </w:tcPr>
          <w:p w14:paraId="41118F0D" w14:textId="0448A629"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 ΣΥΝΟΛΟ ΠΡΑΞΕΩΝ ΑΝΤΑΛΛΑΓΗΣ ΕΞΑΣΦΑΛΙΣΕΩΝ (ο αντισυμβαλλόμενος δεν είναι κεντρική τράπεζα)</w:t>
            </w:r>
          </w:p>
          <w:p w14:paraId="59A9C10F" w14:textId="4CDB84D5"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Άρθρο 28 παράγραφος 4 και άρθρο 32 παράγραφος 3 του κατ’ εξουσιοδότηση κανονισμού (ΕΕ) 2015/61</w:t>
            </w:r>
          </w:p>
          <w:p w14:paraId="19CCBD78" w14:textId="185C4803" w:rsidR="00F71050" w:rsidRPr="000B6B22" w:rsidRDefault="00FB499E" w:rsidP="009D4EFF">
            <w:pPr>
              <w:spacing w:before="0"/>
              <w:ind w:left="-84"/>
              <w:rPr>
                <w:rFonts w:ascii="Times New Roman" w:eastAsia="PMingLiU" w:hAnsi="Times New Roman"/>
                <w:bCs/>
                <w:sz w:val="24"/>
              </w:rPr>
            </w:pPr>
            <w:r>
              <w:rPr>
                <w:rFonts w:ascii="Times New Roman" w:hAnsi="Times New Roman"/>
                <w:sz w:val="24"/>
              </w:rPr>
              <w:t>Τα πιστωτικά ιδρύματα αναφέρουν εδώ, για τις σχετικές στήλες, τις συνολικές αξίες των πράξεων ανταλλαγής εξασφαλίσεων.</w:t>
            </w:r>
          </w:p>
        </w:tc>
      </w:tr>
      <w:tr w:rsidR="00B47B7D" w:rsidRPr="000B6B22" w14:paraId="4C5544D3" w14:textId="77777777" w:rsidTr="0039321F">
        <w:tc>
          <w:tcPr>
            <w:tcW w:w="703" w:type="dxa"/>
            <w:vAlign w:val="center"/>
          </w:tcPr>
          <w:p w14:paraId="740D4771" w14:textId="2143D780" w:rsidR="00F71050" w:rsidRPr="000B6B22" w:rsidRDefault="00AD7441" w:rsidP="009D4EFF">
            <w:pPr>
              <w:spacing w:before="0"/>
              <w:rPr>
                <w:rFonts w:ascii="Times New Roman" w:eastAsia="PMingLiU" w:hAnsi="Times New Roman"/>
                <w:sz w:val="24"/>
              </w:rPr>
            </w:pPr>
            <w:r>
              <w:rPr>
                <w:rFonts w:ascii="Times New Roman" w:hAnsi="Times New Roman"/>
                <w:sz w:val="24"/>
              </w:rPr>
              <w:t>1380</w:t>
            </w:r>
          </w:p>
        </w:tc>
        <w:tc>
          <w:tcPr>
            <w:tcW w:w="7371" w:type="dxa"/>
            <w:shd w:val="clear" w:color="auto" w:fill="auto"/>
          </w:tcPr>
          <w:p w14:paraId="3C7AC06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2.1. Σύνολα για συναλλαγές κατά τις οποίες τα στοιχεία ενεργητικού επιπέδου 1 (εξαιρουμένων των ΕΥΠ καλυμμένων ομολόγων) παρέχονται ως δάνειο και οι ακόλουθες εξασφαλίσεις λαμβάνονται ως δάνειο:</w:t>
            </w:r>
          </w:p>
          <w:p w14:paraId="4C33D6C1" w14:textId="1C83C3DC"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Άρθρο 28 παράγραφος 4 και άρθρο 32 παράγραφος 3 του κατ’ εξουσιοδότηση κανονισμού (ΕΕ) 2015/61</w:t>
            </w:r>
          </w:p>
          <w:p w14:paraId="04E7D14E" w14:textId="5D82D2D4"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Τα πιστωτικά ιδρύματα αναφέρουν εδώ, για κάθε σχετική στήλη, τις συνολικές αξίες των πράξεων ανταλλαγής εξασφαλίσεων για συναλλαγές κατά τις οποίες στοιχεία ενεργητικού επιπέδου 1 (εξαιρουμένων των ΕΥΠ καλυμμένων ομολόγων) παρέχονται ως δάνειο.</w:t>
            </w:r>
          </w:p>
        </w:tc>
      </w:tr>
      <w:tr w:rsidR="00B47B7D" w:rsidRPr="000B6B22" w14:paraId="1B6D1E6E" w14:textId="77777777" w:rsidTr="0039321F">
        <w:tc>
          <w:tcPr>
            <w:tcW w:w="703" w:type="dxa"/>
            <w:vAlign w:val="center"/>
          </w:tcPr>
          <w:p w14:paraId="7E3E21EC" w14:textId="42AF151A" w:rsidR="00F71050" w:rsidRPr="000B6B22" w:rsidRDefault="00AD7441" w:rsidP="009D4EFF">
            <w:pPr>
              <w:spacing w:before="0"/>
              <w:rPr>
                <w:rFonts w:ascii="Times New Roman" w:eastAsia="PMingLiU" w:hAnsi="Times New Roman"/>
                <w:sz w:val="24"/>
              </w:rPr>
            </w:pPr>
            <w:r>
              <w:rPr>
                <w:rFonts w:ascii="Times New Roman" w:hAnsi="Times New Roman"/>
                <w:sz w:val="24"/>
              </w:rPr>
              <w:t>1390</w:t>
            </w:r>
          </w:p>
        </w:tc>
        <w:tc>
          <w:tcPr>
            <w:tcW w:w="7371" w:type="dxa"/>
          </w:tcPr>
          <w:p w14:paraId="30A861A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2.1.1. Στοιχεία ενεργητικού επιπέδου 1 (εξαιρουμένων των ΕΥΠ καλυμμένων ομολόγων)</w:t>
            </w:r>
          </w:p>
          <w:p w14:paraId="22FB3D58" w14:textId="4927A4C4"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στοιχεία ενεργητικού επιπέδου 1, εξαιρουμένων των ΕΥΠ καλυμμένων ομολόγων (που παρέχονται ως δάνειο), με στοιχεία ενεργητικού επιπέδου 1, εξαιρουμένων των ΕΥΠ καλυμμένων ομολόγων (που λαμβάνονται ως δάνειο).</w:t>
            </w:r>
          </w:p>
        </w:tc>
      </w:tr>
      <w:tr w:rsidR="00B47B7D" w:rsidRPr="000B6B22" w14:paraId="41010D12" w14:textId="77777777" w:rsidTr="0039321F">
        <w:tc>
          <w:tcPr>
            <w:tcW w:w="703" w:type="dxa"/>
            <w:vAlign w:val="center"/>
          </w:tcPr>
          <w:p w14:paraId="4435240C" w14:textId="51C96AD9" w:rsidR="00F71050" w:rsidRPr="000B6B22" w:rsidRDefault="00AD7441" w:rsidP="009D4EFF">
            <w:pPr>
              <w:spacing w:before="0"/>
              <w:rPr>
                <w:rFonts w:ascii="Times New Roman" w:eastAsia="PMingLiU" w:hAnsi="Times New Roman"/>
                <w:sz w:val="24"/>
              </w:rPr>
            </w:pPr>
            <w:r>
              <w:rPr>
                <w:rFonts w:ascii="Times New Roman" w:hAnsi="Times New Roman"/>
                <w:sz w:val="24"/>
              </w:rPr>
              <w:t>1400</w:t>
            </w:r>
          </w:p>
        </w:tc>
        <w:tc>
          <w:tcPr>
            <w:tcW w:w="7371" w:type="dxa"/>
          </w:tcPr>
          <w:p w14:paraId="45B4C224" w14:textId="77777777" w:rsidR="00F71050" w:rsidRPr="000B6B22" w:rsidRDefault="00F71050" w:rsidP="009D4EFF">
            <w:pPr>
              <w:numPr>
                <w:ilvl w:val="3"/>
                <w:numId w:val="44"/>
              </w:numPr>
              <w:spacing w:before="0"/>
              <w:ind w:left="-84" w:hanging="600"/>
              <w:rPr>
                <w:rFonts w:ascii="Times New Roman" w:eastAsia="PMingLiU" w:hAnsi="Times New Roman"/>
                <w:b/>
                <w:bCs/>
                <w:sz w:val="24"/>
              </w:rPr>
            </w:pPr>
            <w:r>
              <w:rPr>
                <w:rFonts w:ascii="Times New Roman" w:hAnsi="Times New Roman"/>
                <w:b/>
                <w:sz w:val="24"/>
              </w:rPr>
              <w:t>Των οποίων οι εξασφαλίσεις που ανταλλάσσονται πληρούν τις λειτουργικές απαιτήσεις</w:t>
            </w:r>
          </w:p>
          <w:p w14:paraId="1DCEEC18" w14:textId="10E8BE5C"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2.1.1. τα πιστωτικά ιδρύματα αναφέρουν:</w:t>
            </w:r>
          </w:p>
          <w:p w14:paraId="26440473" w14:textId="6CD60E5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παρέχεται ως δάνειο το οποίο,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3036CA71" w14:textId="4BDB8A0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15FD9AE9" w14:textId="77777777" w:rsidTr="0039321F">
        <w:tc>
          <w:tcPr>
            <w:tcW w:w="703" w:type="dxa"/>
            <w:vAlign w:val="center"/>
          </w:tcPr>
          <w:p w14:paraId="605F31F8" w14:textId="3714EFF5" w:rsidR="00F71050" w:rsidRPr="000B6B22" w:rsidRDefault="00AD7441" w:rsidP="009D4EFF">
            <w:pPr>
              <w:spacing w:before="0"/>
              <w:rPr>
                <w:rFonts w:ascii="Times New Roman" w:eastAsia="PMingLiU" w:hAnsi="Times New Roman"/>
                <w:sz w:val="24"/>
              </w:rPr>
            </w:pPr>
            <w:r>
              <w:rPr>
                <w:rFonts w:ascii="Times New Roman" w:hAnsi="Times New Roman"/>
                <w:sz w:val="24"/>
              </w:rPr>
              <w:t>1410</w:t>
            </w:r>
          </w:p>
        </w:tc>
        <w:tc>
          <w:tcPr>
            <w:tcW w:w="7371" w:type="dxa"/>
          </w:tcPr>
          <w:p w14:paraId="6DFC815A" w14:textId="404A96F1"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2.1.2. Επιπέδου 1 εξαιρετικά υψηλής ποιότητας καλυμμένα ομόλογα</w:t>
            </w:r>
          </w:p>
          <w:p w14:paraId="62EC1564" w14:textId="349E3D5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στοιχεία ενεργητικού επιπέδου 1, εξαιρουμένων των ΕΥΠ καλυμμένων ομολόγων (που παρέχονται ως δάνειο), με εξαιρετικά υψηλής ποιότητας καλυμμένα ομόλογα επιπέδου 1 (που λαμβάνονται ως δάνειο).</w:t>
            </w:r>
          </w:p>
        </w:tc>
      </w:tr>
      <w:tr w:rsidR="00B47B7D" w:rsidRPr="000B6B22" w14:paraId="7E00948E" w14:textId="77777777" w:rsidTr="0039321F">
        <w:tc>
          <w:tcPr>
            <w:tcW w:w="703" w:type="dxa"/>
            <w:vAlign w:val="center"/>
          </w:tcPr>
          <w:p w14:paraId="3D2CA09B" w14:textId="39465DC6" w:rsidR="00F71050" w:rsidRPr="000B6B22" w:rsidRDefault="00AD7441" w:rsidP="009D4EFF">
            <w:pPr>
              <w:spacing w:before="0"/>
              <w:rPr>
                <w:rFonts w:ascii="Times New Roman" w:eastAsia="PMingLiU" w:hAnsi="Times New Roman"/>
                <w:sz w:val="24"/>
              </w:rPr>
            </w:pPr>
            <w:r>
              <w:rPr>
                <w:rFonts w:ascii="Times New Roman" w:hAnsi="Times New Roman"/>
                <w:sz w:val="24"/>
              </w:rPr>
              <w:t>1420</w:t>
            </w:r>
          </w:p>
        </w:tc>
        <w:tc>
          <w:tcPr>
            <w:tcW w:w="7371" w:type="dxa"/>
          </w:tcPr>
          <w:p w14:paraId="741A2A7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2.1.2.1. Των οποίων οι εξασφαλίσεις που ανταλλάσσονται πληρούν τις λειτουργικές απαιτήσεις</w:t>
            </w:r>
          </w:p>
          <w:p w14:paraId="2D4E660F" w14:textId="35A4A287"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2.1.2. τα πιστωτικά ιδρύματα αναφέρουν:</w:t>
            </w:r>
          </w:p>
          <w:p w14:paraId="3782BD75" w14:textId="07FBE00D"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το σκέλος της εξασφάλισης που παρέχεται ως δάνειο το οποίο,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14AE4E5A" w14:textId="64CEFF6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0BDDFF24" w14:textId="77777777" w:rsidTr="0039321F">
        <w:tc>
          <w:tcPr>
            <w:tcW w:w="703" w:type="dxa"/>
            <w:vAlign w:val="center"/>
          </w:tcPr>
          <w:p w14:paraId="774FFED3" w14:textId="5B88519D" w:rsidR="00F71050" w:rsidRPr="000B6B22" w:rsidRDefault="00AD7441" w:rsidP="009D4EFF">
            <w:pPr>
              <w:spacing w:before="0"/>
              <w:rPr>
                <w:rFonts w:ascii="Times New Roman" w:eastAsia="PMingLiU" w:hAnsi="Times New Roman"/>
                <w:sz w:val="24"/>
              </w:rPr>
            </w:pPr>
            <w:r>
              <w:rPr>
                <w:rFonts w:ascii="Times New Roman" w:hAnsi="Times New Roman"/>
                <w:sz w:val="24"/>
              </w:rPr>
              <w:lastRenderedPageBreak/>
              <w:t>1430</w:t>
            </w:r>
          </w:p>
        </w:tc>
        <w:tc>
          <w:tcPr>
            <w:tcW w:w="7371" w:type="dxa"/>
          </w:tcPr>
          <w:p w14:paraId="54882135" w14:textId="74280FF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2.1.3. Στοιχεία ενεργητικού επιπέδου 2Α</w:t>
            </w:r>
          </w:p>
          <w:p w14:paraId="05D9B413" w14:textId="5EF8B04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στοιχεία ενεργητικού επιπέδου 1, εξαιρουμένων των ΕΥΠ καλυμμένων ομολόγων (που παρέχονται ως δάνειο) με στοιχεία ενεργητικού επιπέδου 2Α (που λαμβάνονται ως δάνειο).</w:t>
            </w:r>
          </w:p>
        </w:tc>
      </w:tr>
      <w:tr w:rsidR="00B47B7D" w:rsidRPr="000B6B22" w14:paraId="20F273D5" w14:textId="77777777" w:rsidTr="0039321F">
        <w:tc>
          <w:tcPr>
            <w:tcW w:w="703" w:type="dxa"/>
            <w:vAlign w:val="center"/>
          </w:tcPr>
          <w:p w14:paraId="5E91D16E" w14:textId="17AFE854" w:rsidR="00F71050" w:rsidRPr="000B6B22" w:rsidRDefault="00AD7441" w:rsidP="009D4EFF">
            <w:pPr>
              <w:spacing w:before="0"/>
              <w:rPr>
                <w:rFonts w:ascii="Times New Roman" w:eastAsia="PMingLiU" w:hAnsi="Times New Roman"/>
                <w:sz w:val="24"/>
              </w:rPr>
            </w:pPr>
            <w:r>
              <w:rPr>
                <w:rFonts w:ascii="Times New Roman" w:hAnsi="Times New Roman"/>
                <w:sz w:val="24"/>
              </w:rPr>
              <w:t>1440</w:t>
            </w:r>
          </w:p>
        </w:tc>
        <w:tc>
          <w:tcPr>
            <w:tcW w:w="7371" w:type="dxa"/>
          </w:tcPr>
          <w:p w14:paraId="1B1C627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2.1.3.1. Των οποίων οι εξασφαλίσεις που ανταλλάσσονται πληρούν τις λειτουργικές απαιτήσεις</w:t>
            </w:r>
          </w:p>
          <w:p w14:paraId="0AA25096" w14:textId="00AB6FC0"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2.1.3. τα πιστωτικά ιδρύματα αναφέρουν:</w:t>
            </w:r>
          </w:p>
          <w:p w14:paraId="4CE2E637" w14:textId="05901480"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παρέχεται ως δάνειο το οποίο,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0E45A5B3" w14:textId="036F318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37A5BC47" w14:textId="77777777" w:rsidTr="0039321F">
        <w:tc>
          <w:tcPr>
            <w:tcW w:w="703" w:type="dxa"/>
            <w:vAlign w:val="center"/>
          </w:tcPr>
          <w:p w14:paraId="105287E0" w14:textId="52708E65" w:rsidR="00F71050" w:rsidRPr="000B6B22" w:rsidRDefault="00AD7441" w:rsidP="009D4EFF">
            <w:pPr>
              <w:spacing w:before="0"/>
              <w:rPr>
                <w:rFonts w:ascii="Times New Roman" w:eastAsia="PMingLiU" w:hAnsi="Times New Roman"/>
                <w:sz w:val="24"/>
              </w:rPr>
            </w:pPr>
            <w:r>
              <w:rPr>
                <w:rFonts w:ascii="Times New Roman" w:hAnsi="Times New Roman"/>
                <w:sz w:val="24"/>
              </w:rPr>
              <w:t>1450</w:t>
            </w:r>
          </w:p>
        </w:tc>
        <w:tc>
          <w:tcPr>
            <w:tcW w:w="7371" w:type="dxa"/>
          </w:tcPr>
          <w:p w14:paraId="51FDFF2F" w14:textId="5BCB6593"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2.1.4. Επιπέδου 2Β τίτλοι από τιτλοποίηση (στεγαστικά δάνεια ή δάνεια για αγορά αυτοκινήτου, ΒΠΠ1)</w:t>
            </w:r>
          </w:p>
          <w:p w14:paraId="0CB28505" w14:textId="3DFA88B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στοιχεία ενεργητικού επιπέδου 1, εξαιρουμένων των ΕΥΠ καλυμμένων ομολόγων (που παρέχονται ως δάνειο), με τίτλους από τιτλοποίηση επιπέδου 2Β (στεγαστικά δάνεια ή δάνεια αγοράς αυτοκινήτου, ΒΠΠ1) (που λαμβάνονται ως δάνειο).</w:t>
            </w:r>
          </w:p>
        </w:tc>
      </w:tr>
      <w:tr w:rsidR="00B47B7D" w:rsidRPr="000B6B22" w14:paraId="662524DC" w14:textId="77777777" w:rsidTr="0039321F">
        <w:tc>
          <w:tcPr>
            <w:tcW w:w="703" w:type="dxa"/>
            <w:vAlign w:val="center"/>
          </w:tcPr>
          <w:p w14:paraId="6C34B0C1" w14:textId="43139527" w:rsidR="00F71050" w:rsidRPr="000B6B22" w:rsidRDefault="00AD7441" w:rsidP="009D4EFF">
            <w:pPr>
              <w:spacing w:before="0"/>
              <w:rPr>
                <w:rFonts w:ascii="Times New Roman" w:eastAsia="PMingLiU" w:hAnsi="Times New Roman"/>
                <w:sz w:val="24"/>
              </w:rPr>
            </w:pPr>
            <w:r>
              <w:rPr>
                <w:rFonts w:ascii="Times New Roman" w:hAnsi="Times New Roman"/>
                <w:sz w:val="24"/>
              </w:rPr>
              <w:t>1460</w:t>
            </w:r>
          </w:p>
        </w:tc>
        <w:tc>
          <w:tcPr>
            <w:tcW w:w="7371" w:type="dxa"/>
          </w:tcPr>
          <w:p w14:paraId="3C6DC87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2.1.4.1. Των οποίων οι εξασφαλίσεις που ανταλλάσσονται πληρούν τις λειτουργικές απαιτήσεις</w:t>
            </w:r>
          </w:p>
          <w:p w14:paraId="2DC29F3B" w14:textId="4F5B74A0"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2.1.4. τα πιστωτικά ιδρύματα αναφέρουν:</w:t>
            </w:r>
          </w:p>
          <w:p w14:paraId="1E637373" w14:textId="409B9BA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παρέχεται ως δάνειο το οποίο,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1A5FBEBD" w14:textId="0295F50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1A3C5AA3" w14:textId="77777777" w:rsidTr="0039321F">
        <w:tc>
          <w:tcPr>
            <w:tcW w:w="703" w:type="dxa"/>
            <w:vAlign w:val="center"/>
          </w:tcPr>
          <w:p w14:paraId="3A0401B6" w14:textId="614DD88D" w:rsidR="00F71050" w:rsidRPr="000B6B22" w:rsidRDefault="00AD7441" w:rsidP="009D4EFF">
            <w:pPr>
              <w:spacing w:before="0"/>
              <w:rPr>
                <w:rFonts w:ascii="Times New Roman" w:eastAsia="PMingLiU" w:hAnsi="Times New Roman"/>
                <w:sz w:val="24"/>
              </w:rPr>
            </w:pPr>
            <w:r>
              <w:rPr>
                <w:rFonts w:ascii="Times New Roman" w:hAnsi="Times New Roman"/>
                <w:sz w:val="24"/>
              </w:rPr>
              <w:t>1470</w:t>
            </w:r>
          </w:p>
        </w:tc>
        <w:tc>
          <w:tcPr>
            <w:tcW w:w="7371" w:type="dxa"/>
          </w:tcPr>
          <w:p w14:paraId="2B9A3333" w14:textId="4DE6757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2.1.5. Επιπέδου 2Β υψηλής ποιότητας καλυμμένα ομόλογα</w:t>
            </w:r>
          </w:p>
          <w:p w14:paraId="192E2489" w14:textId="00C8EA8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Συναλλαγές κατά τις οποίες το ίδρυμα έχει ανταλλάξει στοιχεία ενεργητικού επιπέδου 1, εξαιρουμένων των ΕΥΠ καλυμμένων ομολόγων </w:t>
            </w:r>
            <w:r>
              <w:rPr>
                <w:rFonts w:ascii="Times New Roman" w:hAnsi="Times New Roman"/>
                <w:sz w:val="24"/>
              </w:rPr>
              <w:lastRenderedPageBreak/>
              <w:t>(που παρέχονται ως δάνειο), με υψηλής ποιότητας καλυμμένα ομόλογα επιπέδου 2Β (που λαμβάνονται ως δάνειο).</w:t>
            </w:r>
          </w:p>
        </w:tc>
      </w:tr>
      <w:tr w:rsidR="00B47B7D" w:rsidRPr="000B6B22" w14:paraId="3B7D71C3" w14:textId="77777777" w:rsidTr="0039321F">
        <w:trPr>
          <w:trHeight w:val="50"/>
        </w:trPr>
        <w:tc>
          <w:tcPr>
            <w:tcW w:w="703" w:type="dxa"/>
            <w:vAlign w:val="center"/>
          </w:tcPr>
          <w:p w14:paraId="186DE1E7" w14:textId="02797BD5" w:rsidR="00F71050" w:rsidRPr="000B6B22" w:rsidRDefault="00AD7441" w:rsidP="009D4EFF">
            <w:pPr>
              <w:spacing w:before="0"/>
              <w:rPr>
                <w:rFonts w:ascii="Times New Roman" w:eastAsia="PMingLiU" w:hAnsi="Times New Roman"/>
                <w:sz w:val="24"/>
              </w:rPr>
            </w:pPr>
            <w:r>
              <w:rPr>
                <w:rFonts w:ascii="Times New Roman" w:hAnsi="Times New Roman"/>
                <w:sz w:val="24"/>
              </w:rPr>
              <w:lastRenderedPageBreak/>
              <w:t>1480</w:t>
            </w:r>
          </w:p>
        </w:tc>
        <w:tc>
          <w:tcPr>
            <w:tcW w:w="7371" w:type="dxa"/>
          </w:tcPr>
          <w:p w14:paraId="4A8027B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2.1.5.1. Των οποίων οι εξασφαλίσεις που ανταλλάσσονται πληρούν τις λειτουργικές απαιτήσεις</w:t>
            </w:r>
          </w:p>
          <w:p w14:paraId="49ED501C" w14:textId="36D9C942"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2.1.5. τα πιστωτικά ιδρύματα αναφέρουν:</w:t>
            </w:r>
          </w:p>
          <w:p w14:paraId="6525CAE2" w14:textId="5C0AB3C1"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παρέχεται ως δάνειο το οποίο,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7514D6B2" w14:textId="219EE30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5318290A" w14:textId="77777777" w:rsidTr="0039321F">
        <w:trPr>
          <w:trHeight w:val="50"/>
        </w:trPr>
        <w:tc>
          <w:tcPr>
            <w:tcW w:w="703" w:type="dxa"/>
            <w:vAlign w:val="center"/>
          </w:tcPr>
          <w:p w14:paraId="56820C7F" w14:textId="09904F5B" w:rsidR="00F71050" w:rsidRPr="000B6B22" w:rsidRDefault="00AD7441" w:rsidP="009D4EFF">
            <w:pPr>
              <w:spacing w:before="0"/>
              <w:rPr>
                <w:rFonts w:ascii="Times New Roman" w:eastAsia="PMingLiU" w:hAnsi="Times New Roman"/>
                <w:sz w:val="24"/>
              </w:rPr>
            </w:pPr>
            <w:r>
              <w:rPr>
                <w:rFonts w:ascii="Times New Roman" w:hAnsi="Times New Roman"/>
                <w:sz w:val="24"/>
              </w:rPr>
              <w:t>1490</w:t>
            </w:r>
          </w:p>
        </w:tc>
        <w:tc>
          <w:tcPr>
            <w:tcW w:w="7371" w:type="dxa"/>
          </w:tcPr>
          <w:p w14:paraId="15CAFE7C" w14:textId="67797829"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2.1.6. Επιπέδου 2Β τίτλοι από τιτλοποίηση (εμπορικά δάνεια ή δάνεια σε ιδιώτες, κράτος μέλος, ΒΠΠ1)</w:t>
            </w:r>
          </w:p>
          <w:p w14:paraId="1737CF4B" w14:textId="3872482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στοιχεία ενεργητικού επιπέδου 1, εξαιρουμένων των ΕΥΠ καλυμμένων ομολόγων (που παρέχονται ως δάνειο), με στοιχεία επιπέδου 2Β: τίτλους από τιτλοποίηση (εμπορικά δάνεια ή δάνεια σε ιδιώτες, κράτος μέλος, ΒΠΠ1) (που λαμβάνονται ως δάνειο).</w:t>
            </w:r>
          </w:p>
        </w:tc>
      </w:tr>
      <w:tr w:rsidR="00B47B7D" w:rsidRPr="000B6B22" w14:paraId="2F8DFBE5" w14:textId="77777777" w:rsidTr="0039321F">
        <w:tc>
          <w:tcPr>
            <w:tcW w:w="703" w:type="dxa"/>
            <w:vAlign w:val="center"/>
          </w:tcPr>
          <w:p w14:paraId="60EB58B2" w14:textId="004119A7" w:rsidR="00F71050" w:rsidRPr="000B6B22" w:rsidRDefault="00AD7441" w:rsidP="009D4EFF">
            <w:pPr>
              <w:spacing w:before="0"/>
              <w:rPr>
                <w:rFonts w:ascii="Times New Roman" w:eastAsia="PMingLiU" w:hAnsi="Times New Roman"/>
                <w:sz w:val="24"/>
              </w:rPr>
            </w:pPr>
            <w:r>
              <w:rPr>
                <w:rFonts w:ascii="Times New Roman" w:hAnsi="Times New Roman"/>
                <w:sz w:val="24"/>
              </w:rPr>
              <w:t>1500</w:t>
            </w:r>
          </w:p>
        </w:tc>
        <w:tc>
          <w:tcPr>
            <w:tcW w:w="7371" w:type="dxa"/>
          </w:tcPr>
          <w:p w14:paraId="3FB68C5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2.1.6.1. Των οποίων οι εξασφαλίσεις που ανταλλάσσονται πληρούν τις λειτουργικές απαιτήσεις</w:t>
            </w:r>
          </w:p>
          <w:p w14:paraId="5A0B71A1" w14:textId="1347FBC2"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2.1.6. τα πιστωτικά ιδρύματα αναφέρουν:</w:t>
            </w:r>
          </w:p>
          <w:p w14:paraId="6CCA281F" w14:textId="4B91FC4B"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παρέχεται ως δάνειο το οποίο,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0CC653EA" w14:textId="3A88B9A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1230292F" w14:textId="77777777" w:rsidTr="0039321F">
        <w:tc>
          <w:tcPr>
            <w:tcW w:w="703" w:type="dxa"/>
            <w:vAlign w:val="center"/>
          </w:tcPr>
          <w:p w14:paraId="75054965" w14:textId="5C81B9A1" w:rsidR="00F71050" w:rsidRPr="000B6B22" w:rsidRDefault="00AD7441" w:rsidP="009D4EFF">
            <w:pPr>
              <w:spacing w:before="0"/>
              <w:rPr>
                <w:rFonts w:ascii="Times New Roman" w:eastAsia="PMingLiU" w:hAnsi="Times New Roman"/>
                <w:sz w:val="24"/>
              </w:rPr>
            </w:pPr>
            <w:r>
              <w:rPr>
                <w:rFonts w:ascii="Times New Roman" w:hAnsi="Times New Roman"/>
                <w:sz w:val="24"/>
              </w:rPr>
              <w:t>1510</w:t>
            </w:r>
          </w:p>
        </w:tc>
        <w:tc>
          <w:tcPr>
            <w:tcW w:w="7371" w:type="dxa"/>
          </w:tcPr>
          <w:p w14:paraId="5D68516D" w14:textId="2A468DBD"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2.1.7. Άλλα στοιχεία ενεργητικού επιπέδου 2Β</w:t>
            </w:r>
          </w:p>
          <w:p w14:paraId="16714351" w14:textId="0E1DE81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στοιχεία ενεργητικού επιπέδου 1, εξαιρουμένων των ΕΥΠ καλυμμένων ομολόγων (που παρέχονται ως δάνειο), με άλλα στοιχεία επιπέδου 2Β (που λαμβάνονται ως δάνειο)</w:t>
            </w:r>
          </w:p>
        </w:tc>
      </w:tr>
      <w:tr w:rsidR="00B47B7D" w:rsidRPr="000B6B22" w14:paraId="4A7D7C45" w14:textId="77777777" w:rsidTr="0039321F">
        <w:tc>
          <w:tcPr>
            <w:tcW w:w="703" w:type="dxa"/>
            <w:vAlign w:val="center"/>
          </w:tcPr>
          <w:p w14:paraId="5CA8B0BC" w14:textId="77BB393F" w:rsidR="00F71050" w:rsidRPr="000B6B22" w:rsidRDefault="00AD7441" w:rsidP="009D4EFF">
            <w:pPr>
              <w:spacing w:before="0"/>
              <w:rPr>
                <w:rFonts w:ascii="Times New Roman" w:eastAsia="PMingLiU" w:hAnsi="Times New Roman"/>
                <w:sz w:val="24"/>
              </w:rPr>
            </w:pPr>
            <w:r>
              <w:rPr>
                <w:rFonts w:ascii="Times New Roman" w:hAnsi="Times New Roman"/>
                <w:sz w:val="24"/>
              </w:rPr>
              <w:t>1520</w:t>
            </w:r>
          </w:p>
        </w:tc>
        <w:tc>
          <w:tcPr>
            <w:tcW w:w="7371" w:type="dxa"/>
          </w:tcPr>
          <w:p w14:paraId="4E91132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2.1.7.1. Των οποίων οι εξασφαλίσεις που ανταλλάσσονται πληρούν τις λειτουργικές απαιτήσεις</w:t>
            </w:r>
          </w:p>
          <w:p w14:paraId="12ECB90B" w14:textId="7C3766C1"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2.1.7. τα πιστωτικά ιδρύματα αναφέρουν:</w:t>
            </w:r>
          </w:p>
          <w:p w14:paraId="2FB2AC33" w14:textId="2C5C87CE"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παρέχεται ως δάνειο το οποίο,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2CFB9485" w14:textId="74D2A31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378F1768" w14:textId="77777777" w:rsidTr="0039321F">
        <w:tc>
          <w:tcPr>
            <w:tcW w:w="703" w:type="dxa"/>
            <w:vAlign w:val="center"/>
          </w:tcPr>
          <w:p w14:paraId="4B15479F" w14:textId="64900C76" w:rsidR="00F71050" w:rsidRPr="000B6B22" w:rsidRDefault="00AD7441" w:rsidP="009D4EFF">
            <w:pPr>
              <w:spacing w:before="0"/>
              <w:rPr>
                <w:rFonts w:ascii="Times New Roman" w:eastAsia="PMingLiU" w:hAnsi="Times New Roman"/>
                <w:sz w:val="24"/>
              </w:rPr>
            </w:pPr>
            <w:r>
              <w:rPr>
                <w:rFonts w:ascii="Times New Roman" w:hAnsi="Times New Roman"/>
                <w:sz w:val="24"/>
              </w:rPr>
              <w:lastRenderedPageBreak/>
              <w:t>1530</w:t>
            </w:r>
          </w:p>
        </w:tc>
        <w:tc>
          <w:tcPr>
            <w:tcW w:w="7371" w:type="dxa"/>
          </w:tcPr>
          <w:p w14:paraId="0A696F77"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2.1.8. Μη ρευστά στοιχεία ενεργητικού</w:t>
            </w:r>
          </w:p>
          <w:p w14:paraId="7D04ADDE" w14:textId="2733FA5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στοιχεία ενεργητικού επιπέδου 1, εξαιρουμένων των ΕΥΠ καλυμμένων ομολόγων (που παρέχονται ως δάνειο), με μη ρευστά στοιχεία ενεργητικού (που λαμβάνονται ως δάνειο).</w:t>
            </w:r>
          </w:p>
        </w:tc>
      </w:tr>
      <w:tr w:rsidR="00B47B7D" w:rsidRPr="000B6B22" w14:paraId="0ABDC83C" w14:textId="77777777" w:rsidTr="0039321F">
        <w:tc>
          <w:tcPr>
            <w:tcW w:w="703" w:type="dxa"/>
            <w:shd w:val="clear" w:color="auto" w:fill="auto"/>
            <w:vAlign w:val="center"/>
          </w:tcPr>
          <w:p w14:paraId="0781D111" w14:textId="053AFE56" w:rsidR="00F71050" w:rsidRPr="000B6B22" w:rsidRDefault="00AD7441">
            <w:pPr>
              <w:spacing w:before="0"/>
              <w:rPr>
                <w:rFonts w:ascii="Times New Roman" w:eastAsia="PMingLiU" w:hAnsi="Times New Roman"/>
                <w:sz w:val="24"/>
              </w:rPr>
            </w:pPr>
            <w:r>
              <w:rPr>
                <w:rFonts w:ascii="Times New Roman" w:hAnsi="Times New Roman"/>
                <w:sz w:val="24"/>
              </w:rPr>
              <w:t>1540</w:t>
            </w:r>
          </w:p>
        </w:tc>
        <w:tc>
          <w:tcPr>
            <w:tcW w:w="7371" w:type="dxa"/>
            <w:shd w:val="clear" w:color="auto" w:fill="auto"/>
          </w:tcPr>
          <w:p w14:paraId="1A3E3C5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2.1.8.1. Των οποίων οι εξασφαλίσεις που ανταλλάσσονται πληρούν τις λειτουργικές απαιτήσεις</w:t>
            </w:r>
          </w:p>
          <w:p w14:paraId="3F390D3E" w14:textId="1017CDA6"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Από τις συναλλαγές που αναφέρονται στο σημείο 2.1.8., τα πιστωτικά ιδρύματα αναφέρουν το σκέλος της εξασφάλισης που παρέχεται ως δάνειο το οποίο,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w:t>
            </w:r>
          </w:p>
        </w:tc>
      </w:tr>
      <w:tr w:rsidR="00B47B7D" w:rsidRPr="000B6B22" w14:paraId="517AFFAA" w14:textId="77777777" w:rsidTr="0039321F">
        <w:tc>
          <w:tcPr>
            <w:tcW w:w="703" w:type="dxa"/>
            <w:shd w:val="clear" w:color="auto" w:fill="auto"/>
            <w:vAlign w:val="center"/>
          </w:tcPr>
          <w:p w14:paraId="2DB76EEE" w14:textId="433BD932" w:rsidR="00F71050" w:rsidRPr="000B6B22" w:rsidRDefault="00AD7441">
            <w:pPr>
              <w:spacing w:before="0"/>
              <w:rPr>
                <w:rFonts w:ascii="Times New Roman" w:eastAsia="PMingLiU" w:hAnsi="Times New Roman"/>
                <w:sz w:val="24"/>
              </w:rPr>
            </w:pPr>
            <w:r>
              <w:rPr>
                <w:rFonts w:ascii="Times New Roman" w:hAnsi="Times New Roman"/>
                <w:sz w:val="24"/>
              </w:rPr>
              <w:t>1550</w:t>
            </w:r>
          </w:p>
        </w:tc>
        <w:tc>
          <w:tcPr>
            <w:tcW w:w="7371" w:type="dxa"/>
            <w:shd w:val="clear" w:color="auto" w:fill="auto"/>
          </w:tcPr>
          <w:p w14:paraId="0E69DD3D" w14:textId="7C391E4F" w:rsidR="00F71050" w:rsidRPr="000B6B22" w:rsidRDefault="00F71050" w:rsidP="009D4EFF">
            <w:pPr>
              <w:spacing w:before="0"/>
              <w:ind w:left="-84"/>
              <w:rPr>
                <w:rFonts w:ascii="Times New Roman" w:eastAsia="PMingLiU" w:hAnsi="Times New Roman"/>
                <w:sz w:val="24"/>
              </w:rPr>
            </w:pPr>
            <w:r>
              <w:rPr>
                <w:rFonts w:ascii="Times New Roman" w:hAnsi="Times New Roman"/>
                <w:b/>
                <w:sz w:val="24"/>
              </w:rPr>
              <w:t>2.2. Σύνολα για συναλλαγές κατά τις οποίες: τα εξαιρετικά υψηλής ποιότητας καλυμμένα ομόλογα επιπέδου 1 παρέχονται ως δάνειο και οι ακόλουθες εξασφαλίσεις λαμβάνονται ως δάνειο:</w:t>
            </w:r>
          </w:p>
          <w:p w14:paraId="0F483C3B" w14:textId="364CC811"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Άρθρο 28 παράγραφος 4 και άρθρο 32 παράγραφος 3 του κατ’ εξουσιοδότηση κανονισμού (ΕΕ) 2015/61</w:t>
            </w:r>
          </w:p>
          <w:p w14:paraId="3DA72D20" w14:textId="41E00AF4"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Τα πιστωτικά ιδρύματα αναφέρουν εδώ, για τις σχετικές στήλες, τις συνολικές αξίες των πράξεων ανταλλαγής εξασφαλίσεων για συναλλαγές κατά τις οποίες εξαιρετικά υψηλής ποιότητας καλυμμένα ομόλογα επιπέδου 1 παρέχονται ως δάνειο.</w:t>
            </w:r>
          </w:p>
        </w:tc>
      </w:tr>
      <w:tr w:rsidR="00B47B7D" w:rsidRPr="000B6B22" w14:paraId="3FA58591" w14:textId="77777777" w:rsidTr="0039321F">
        <w:tc>
          <w:tcPr>
            <w:tcW w:w="703" w:type="dxa"/>
            <w:vAlign w:val="center"/>
          </w:tcPr>
          <w:p w14:paraId="76AEEAD5" w14:textId="6A083697" w:rsidR="00F71050" w:rsidRPr="000B6B22" w:rsidRDefault="00AD7441">
            <w:pPr>
              <w:spacing w:before="0"/>
              <w:rPr>
                <w:rFonts w:ascii="Times New Roman" w:eastAsia="PMingLiU" w:hAnsi="Times New Roman"/>
                <w:sz w:val="24"/>
              </w:rPr>
            </w:pPr>
            <w:r>
              <w:rPr>
                <w:rFonts w:ascii="Times New Roman" w:hAnsi="Times New Roman"/>
                <w:sz w:val="24"/>
              </w:rPr>
              <w:t>1560</w:t>
            </w:r>
          </w:p>
        </w:tc>
        <w:tc>
          <w:tcPr>
            <w:tcW w:w="7371" w:type="dxa"/>
          </w:tcPr>
          <w:p w14:paraId="2F73D18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2.2.1. Στοιχεία ενεργητικού επιπέδου 1 (εξαιρουμένων των ΕΥΠ καλυμμένων ομολόγων)</w:t>
            </w:r>
          </w:p>
          <w:p w14:paraId="3E9044A0" w14:textId="68F8D244"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εξαιρετικά υψηλής ποιότητας καλυμμένα ομόλογα επιπέδου 1 (που παρέχονται ως δάνειο) με στοιχεία ενεργητικού επιπέδου 1 εξαιρουμένων των ΕΥΠ καλυμμένων ομολόγων (που λαμβάνονται ως δάνειο).</w:t>
            </w:r>
          </w:p>
        </w:tc>
      </w:tr>
      <w:tr w:rsidR="00B47B7D" w:rsidRPr="000B6B22" w14:paraId="7BA8CCC7" w14:textId="77777777" w:rsidTr="0039321F">
        <w:tc>
          <w:tcPr>
            <w:tcW w:w="703" w:type="dxa"/>
            <w:vAlign w:val="center"/>
          </w:tcPr>
          <w:p w14:paraId="4C01E48A" w14:textId="5823407B" w:rsidR="00F71050" w:rsidRPr="000B6B22" w:rsidRDefault="00AD7441">
            <w:pPr>
              <w:spacing w:before="0"/>
              <w:rPr>
                <w:rFonts w:ascii="Times New Roman" w:eastAsia="PMingLiU" w:hAnsi="Times New Roman"/>
                <w:sz w:val="24"/>
              </w:rPr>
            </w:pPr>
            <w:r>
              <w:rPr>
                <w:rFonts w:ascii="Times New Roman" w:hAnsi="Times New Roman"/>
                <w:sz w:val="24"/>
              </w:rPr>
              <w:t>1570</w:t>
            </w:r>
          </w:p>
        </w:tc>
        <w:tc>
          <w:tcPr>
            <w:tcW w:w="7371" w:type="dxa"/>
          </w:tcPr>
          <w:p w14:paraId="7FA96C4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2.2.1.1. Των οποίων οι εξασφαλίσεις που ανταλλάσσονται πληρούν τις λειτουργικές απαιτήσεις</w:t>
            </w:r>
          </w:p>
          <w:p w14:paraId="7E71C48A" w14:textId="09AE35C7"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2.2.1. τα πιστωτικά ιδρύματα αναφέρουν:</w:t>
            </w:r>
          </w:p>
          <w:p w14:paraId="5009AFF2" w14:textId="2CA76BEC"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παρέχεται ως δάνειο το οποίο,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53F1BB3C" w14:textId="2DE401D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64076AD4" w14:textId="77777777" w:rsidTr="0039321F">
        <w:tc>
          <w:tcPr>
            <w:tcW w:w="703" w:type="dxa"/>
            <w:vAlign w:val="center"/>
          </w:tcPr>
          <w:p w14:paraId="15C4E249" w14:textId="5B6D91AA" w:rsidR="00F71050" w:rsidRPr="000B6B22" w:rsidRDefault="00AD7441">
            <w:pPr>
              <w:spacing w:before="0"/>
              <w:rPr>
                <w:rFonts w:ascii="Times New Roman" w:eastAsia="PMingLiU" w:hAnsi="Times New Roman"/>
                <w:sz w:val="24"/>
              </w:rPr>
            </w:pPr>
            <w:r>
              <w:rPr>
                <w:rFonts w:ascii="Times New Roman" w:hAnsi="Times New Roman"/>
                <w:sz w:val="24"/>
              </w:rPr>
              <w:t>1580</w:t>
            </w:r>
          </w:p>
        </w:tc>
        <w:tc>
          <w:tcPr>
            <w:tcW w:w="7371" w:type="dxa"/>
          </w:tcPr>
          <w:p w14:paraId="0673256A" w14:textId="1F269AE6"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2.2.2. Επιπέδου 1 εξαιρετικά υψηλής ποιότητας καλυμμένα ομόλογα</w:t>
            </w:r>
          </w:p>
          <w:p w14:paraId="6106FC3C" w14:textId="5ADABC4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Συναλλαγές κατά τις οποίες το ίδρυμα έχει ανταλλάξει επιπέδου 1 εξαιρετικά υψηλής ποιότητας καλυμμένα ομόλογα (που παρέχονται ως </w:t>
            </w:r>
            <w:r>
              <w:rPr>
                <w:rFonts w:ascii="Times New Roman" w:hAnsi="Times New Roman"/>
                <w:sz w:val="24"/>
              </w:rPr>
              <w:lastRenderedPageBreak/>
              <w:t>δάνειο) με επιπέδου 1 εξαιρετικά υψηλής ποιότητας καλυμμένα ομόλογα (που λαμβάνονται ως δάνειο).</w:t>
            </w:r>
          </w:p>
        </w:tc>
      </w:tr>
      <w:tr w:rsidR="00B47B7D" w:rsidRPr="000B6B22" w14:paraId="48484248" w14:textId="77777777" w:rsidTr="0039321F">
        <w:tc>
          <w:tcPr>
            <w:tcW w:w="703" w:type="dxa"/>
            <w:vAlign w:val="center"/>
          </w:tcPr>
          <w:p w14:paraId="0B9A297A" w14:textId="1579FE94" w:rsidR="00F71050" w:rsidRPr="000B6B22" w:rsidRDefault="00AD7441">
            <w:pPr>
              <w:spacing w:before="0"/>
              <w:rPr>
                <w:rFonts w:ascii="Times New Roman" w:eastAsia="PMingLiU" w:hAnsi="Times New Roman"/>
                <w:sz w:val="24"/>
              </w:rPr>
            </w:pPr>
            <w:r>
              <w:rPr>
                <w:rFonts w:ascii="Times New Roman" w:hAnsi="Times New Roman"/>
                <w:sz w:val="24"/>
              </w:rPr>
              <w:lastRenderedPageBreak/>
              <w:t>1590</w:t>
            </w:r>
          </w:p>
        </w:tc>
        <w:tc>
          <w:tcPr>
            <w:tcW w:w="7371" w:type="dxa"/>
          </w:tcPr>
          <w:p w14:paraId="3435D45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2.2.2.1. Των οποίων οι εξασφαλίσεις που ανταλλάσσονται πληρούν τις λειτουργικές απαιτήσεις</w:t>
            </w:r>
          </w:p>
          <w:p w14:paraId="4DA3FF32" w14:textId="0DE66814"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2.2.2. τα πιστωτικά ιδρύματα αναφέρουν:</w:t>
            </w:r>
          </w:p>
          <w:p w14:paraId="68AB7F65" w14:textId="1476D880"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παρέχεται ως δάνειο το οποίο,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289070E8" w14:textId="2E5C6A0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4DA840DE" w14:textId="77777777" w:rsidTr="0039321F">
        <w:tc>
          <w:tcPr>
            <w:tcW w:w="703" w:type="dxa"/>
            <w:vAlign w:val="center"/>
          </w:tcPr>
          <w:p w14:paraId="1723A15F" w14:textId="042822C0" w:rsidR="00F71050" w:rsidRPr="000B6B22" w:rsidRDefault="00AD7441">
            <w:pPr>
              <w:spacing w:before="0"/>
              <w:rPr>
                <w:rFonts w:ascii="Times New Roman" w:eastAsia="PMingLiU" w:hAnsi="Times New Roman"/>
                <w:sz w:val="24"/>
              </w:rPr>
            </w:pPr>
            <w:r>
              <w:rPr>
                <w:rFonts w:ascii="Times New Roman" w:hAnsi="Times New Roman"/>
                <w:sz w:val="24"/>
              </w:rPr>
              <w:t>1600</w:t>
            </w:r>
          </w:p>
        </w:tc>
        <w:tc>
          <w:tcPr>
            <w:tcW w:w="7371" w:type="dxa"/>
          </w:tcPr>
          <w:p w14:paraId="0B127A2C" w14:textId="2A5BC1D1"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2.2.3. Στοιχεία ενεργητικού επιπέδου 2Α</w:t>
            </w:r>
          </w:p>
          <w:p w14:paraId="2A9FC07D" w14:textId="071F58E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επιπέδου 1 εξαιρετικά υψηλής ποιότητας καλυμμένα ομόλογα (που παρέχονται ως δάνειο) με στοιχεία ενεργητικού επιπέδου 2Α (που λαμβάνονται ως δάνειο).</w:t>
            </w:r>
          </w:p>
        </w:tc>
      </w:tr>
      <w:tr w:rsidR="00B47B7D" w:rsidRPr="000B6B22" w14:paraId="444D1F27" w14:textId="77777777" w:rsidTr="0039321F">
        <w:tc>
          <w:tcPr>
            <w:tcW w:w="703" w:type="dxa"/>
            <w:vAlign w:val="center"/>
          </w:tcPr>
          <w:p w14:paraId="4ACD6D19" w14:textId="12C9CEF5" w:rsidR="00F71050" w:rsidRPr="000B6B22" w:rsidRDefault="00AD7441">
            <w:pPr>
              <w:spacing w:before="0"/>
              <w:rPr>
                <w:rFonts w:ascii="Times New Roman" w:eastAsia="PMingLiU" w:hAnsi="Times New Roman"/>
                <w:sz w:val="24"/>
              </w:rPr>
            </w:pPr>
            <w:r>
              <w:rPr>
                <w:rFonts w:ascii="Times New Roman" w:hAnsi="Times New Roman"/>
                <w:sz w:val="24"/>
              </w:rPr>
              <w:t>1610</w:t>
            </w:r>
          </w:p>
        </w:tc>
        <w:tc>
          <w:tcPr>
            <w:tcW w:w="7371" w:type="dxa"/>
          </w:tcPr>
          <w:p w14:paraId="45DF39D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2.2.3.1. Των οποίων οι εξασφαλίσεις που ανταλλάσσονται πληρούν τις λειτουργικές απαιτήσεις</w:t>
            </w:r>
          </w:p>
          <w:p w14:paraId="25A6CAB4" w14:textId="58A162C3"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2.2.3. τα πιστωτικά ιδρύματα αναφέρουν:</w:t>
            </w:r>
          </w:p>
          <w:p w14:paraId="4A6BF050" w14:textId="4256C76E"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παρέχεται ως δάνειο το οποίο,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52BD5405" w14:textId="162D92B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655D509C" w14:textId="77777777" w:rsidTr="0039321F">
        <w:tc>
          <w:tcPr>
            <w:tcW w:w="703" w:type="dxa"/>
            <w:vAlign w:val="center"/>
          </w:tcPr>
          <w:p w14:paraId="5DB1051D" w14:textId="6315511D" w:rsidR="00F71050" w:rsidRPr="000B6B22" w:rsidRDefault="00AD7441">
            <w:pPr>
              <w:spacing w:before="0"/>
              <w:rPr>
                <w:rFonts w:ascii="Times New Roman" w:eastAsia="PMingLiU" w:hAnsi="Times New Roman"/>
                <w:sz w:val="24"/>
              </w:rPr>
            </w:pPr>
            <w:r>
              <w:rPr>
                <w:rFonts w:ascii="Times New Roman" w:hAnsi="Times New Roman"/>
                <w:sz w:val="24"/>
              </w:rPr>
              <w:t>1620</w:t>
            </w:r>
          </w:p>
        </w:tc>
        <w:tc>
          <w:tcPr>
            <w:tcW w:w="7371" w:type="dxa"/>
          </w:tcPr>
          <w:p w14:paraId="7E4853EF" w14:textId="6D624275"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2.2.4. Επιπέδου 2Β τίτλοι από τιτλοποίηση (στεγαστικά δάνεια ή δάνεια για αγορά αυτοκινήτου, ΒΠΠ1)</w:t>
            </w:r>
          </w:p>
          <w:p w14:paraId="32B503BE" w14:textId="239DA19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επιπέδου 1 εξαιρετικά υψηλής ποιότητας καλυμμένα ομόλογα (που παρέχονται ως δάνειο) με τίτλους από τιτλοποίηση επιπέδου 2Β (στεγαστικά δάνεια ή δάνεια αγοράς αυτοκινήτου, ΒΠΠ1) (που λαμβάνονται ως δάνειο)</w:t>
            </w:r>
          </w:p>
        </w:tc>
      </w:tr>
      <w:tr w:rsidR="00B47B7D" w:rsidRPr="000B6B22" w14:paraId="5710696A" w14:textId="77777777" w:rsidTr="0039321F">
        <w:tc>
          <w:tcPr>
            <w:tcW w:w="703" w:type="dxa"/>
            <w:vAlign w:val="center"/>
          </w:tcPr>
          <w:p w14:paraId="47EA608A" w14:textId="43D5A3A5" w:rsidR="00F71050" w:rsidRPr="000B6B22" w:rsidRDefault="00AD7441">
            <w:pPr>
              <w:spacing w:before="0"/>
              <w:rPr>
                <w:rFonts w:ascii="Times New Roman" w:eastAsia="PMingLiU" w:hAnsi="Times New Roman"/>
                <w:sz w:val="24"/>
              </w:rPr>
            </w:pPr>
            <w:r>
              <w:rPr>
                <w:rFonts w:ascii="Times New Roman" w:hAnsi="Times New Roman"/>
                <w:sz w:val="24"/>
              </w:rPr>
              <w:t>1630</w:t>
            </w:r>
          </w:p>
        </w:tc>
        <w:tc>
          <w:tcPr>
            <w:tcW w:w="7371" w:type="dxa"/>
          </w:tcPr>
          <w:p w14:paraId="05866F3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2.2.4.1. Των οποίων οι εξασφαλίσεις που ανταλλάσσονται πληρούν τις λειτουργικές απαιτήσεις</w:t>
            </w:r>
          </w:p>
          <w:p w14:paraId="1F9423C6" w14:textId="6396EE0A"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2.2.4. τα πιστωτικά ιδρύματα αναφέρουν:</w:t>
            </w:r>
          </w:p>
          <w:p w14:paraId="02226C74" w14:textId="714BC7A2"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παρέχεται ως δάνειο το οποίο,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167D1161" w14:textId="0336862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56120AA6" w14:textId="77777777" w:rsidTr="0039321F">
        <w:tc>
          <w:tcPr>
            <w:tcW w:w="703" w:type="dxa"/>
            <w:vAlign w:val="center"/>
          </w:tcPr>
          <w:p w14:paraId="2BA8E3AC" w14:textId="75F3D02C" w:rsidR="00F71050" w:rsidRPr="000B6B22" w:rsidRDefault="00AD7441">
            <w:pPr>
              <w:spacing w:before="0"/>
              <w:rPr>
                <w:rFonts w:ascii="Times New Roman" w:eastAsia="PMingLiU" w:hAnsi="Times New Roman"/>
                <w:sz w:val="24"/>
              </w:rPr>
            </w:pPr>
            <w:r>
              <w:rPr>
                <w:rFonts w:ascii="Times New Roman" w:hAnsi="Times New Roman"/>
                <w:sz w:val="24"/>
              </w:rPr>
              <w:lastRenderedPageBreak/>
              <w:t>1640</w:t>
            </w:r>
          </w:p>
        </w:tc>
        <w:tc>
          <w:tcPr>
            <w:tcW w:w="7371" w:type="dxa"/>
          </w:tcPr>
          <w:p w14:paraId="04BA035E" w14:textId="5DC4E95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2.2.5. Επιπέδου 2Β υψηλής ποιότητας καλυμμένα ομόλογα</w:t>
            </w:r>
          </w:p>
          <w:p w14:paraId="34F92BCC" w14:textId="057D4CA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επιπέδου 1 εξαιρετικά υψηλής ποιότητας καλυμμένα ομόλογα (που παρέχονται ως δάνειο) με υψηλής ποιότητας καλυμμένα ομόλογα επιπέδου 2Β (που λαμβάνονται ως δάνειο).</w:t>
            </w:r>
          </w:p>
        </w:tc>
      </w:tr>
      <w:tr w:rsidR="00B47B7D" w:rsidRPr="000B6B22" w14:paraId="2B4F5063" w14:textId="77777777" w:rsidTr="0039321F">
        <w:tc>
          <w:tcPr>
            <w:tcW w:w="703" w:type="dxa"/>
            <w:vAlign w:val="center"/>
          </w:tcPr>
          <w:p w14:paraId="0D2F5E78" w14:textId="25862305" w:rsidR="00F71050" w:rsidRPr="000B6B22" w:rsidRDefault="00AD7441">
            <w:pPr>
              <w:spacing w:before="0"/>
              <w:rPr>
                <w:rFonts w:ascii="Times New Roman" w:eastAsia="PMingLiU" w:hAnsi="Times New Roman"/>
                <w:sz w:val="24"/>
              </w:rPr>
            </w:pPr>
            <w:r>
              <w:rPr>
                <w:rFonts w:ascii="Times New Roman" w:hAnsi="Times New Roman"/>
                <w:sz w:val="24"/>
              </w:rPr>
              <w:t>1650</w:t>
            </w:r>
          </w:p>
        </w:tc>
        <w:tc>
          <w:tcPr>
            <w:tcW w:w="7371" w:type="dxa"/>
          </w:tcPr>
          <w:p w14:paraId="6D47E51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2.2.5.1. Των οποίων οι εξασφαλίσεις που ανταλλάσσονται πληρούν τις λειτουργικές απαιτήσεις</w:t>
            </w:r>
          </w:p>
          <w:p w14:paraId="4EAB806B" w14:textId="32F1E2C1"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2.2.5. τα πιστωτικά ιδρύματα αναφέρουν:</w:t>
            </w:r>
          </w:p>
          <w:p w14:paraId="2153C68A" w14:textId="0494E247"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παρέχεται ως δάνειο το οποίο,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2C509ACC" w14:textId="5EB9814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507BC905" w14:textId="77777777" w:rsidTr="0039321F">
        <w:tc>
          <w:tcPr>
            <w:tcW w:w="703" w:type="dxa"/>
            <w:vAlign w:val="center"/>
          </w:tcPr>
          <w:p w14:paraId="1CCBBC5C" w14:textId="25FA342F" w:rsidR="00F71050" w:rsidRPr="000B6B22" w:rsidRDefault="00AD7441">
            <w:pPr>
              <w:spacing w:before="0"/>
              <w:rPr>
                <w:rFonts w:ascii="Times New Roman" w:eastAsia="PMingLiU" w:hAnsi="Times New Roman"/>
                <w:sz w:val="24"/>
              </w:rPr>
            </w:pPr>
            <w:r>
              <w:rPr>
                <w:rFonts w:ascii="Times New Roman" w:hAnsi="Times New Roman"/>
                <w:sz w:val="24"/>
              </w:rPr>
              <w:t>1660</w:t>
            </w:r>
          </w:p>
        </w:tc>
        <w:tc>
          <w:tcPr>
            <w:tcW w:w="7371" w:type="dxa"/>
          </w:tcPr>
          <w:p w14:paraId="2E7434A6" w14:textId="0DA25A11"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2.2.6. Επιπέδου 2Β τίτλοι από τιτλοποίηση (εμπορικά δάνεια ή δάνεια σε ιδιώτες, κράτος μέλος, ΒΠΠ1)</w:t>
            </w:r>
          </w:p>
          <w:p w14:paraId="1CB114E8" w14:textId="69F4655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επιπέδου 1 εξαιρετικά υψηλής ποιότητας καλυμμένα ομόλογα (που παρέχονται ως δάνειο) με στοιχεία επιπέδου 2Β: τίτλους από τιτλοποίηση (εμπορικά δάνεια ή δάνεια σε ιδιώτες, κράτος μέλος, ΒΠΠ1) (που λαμβάνονται ως δάνειο)</w:t>
            </w:r>
          </w:p>
        </w:tc>
      </w:tr>
      <w:tr w:rsidR="00B47B7D" w:rsidRPr="000B6B22" w14:paraId="11649D86" w14:textId="77777777" w:rsidTr="0039321F">
        <w:tc>
          <w:tcPr>
            <w:tcW w:w="703" w:type="dxa"/>
            <w:vAlign w:val="center"/>
          </w:tcPr>
          <w:p w14:paraId="37DB9C42" w14:textId="0AB0BFDA" w:rsidR="00F71050" w:rsidRPr="000B6B22" w:rsidRDefault="00AD7441">
            <w:pPr>
              <w:spacing w:before="0"/>
              <w:rPr>
                <w:rFonts w:ascii="Times New Roman" w:eastAsia="PMingLiU" w:hAnsi="Times New Roman"/>
                <w:sz w:val="24"/>
              </w:rPr>
            </w:pPr>
            <w:r>
              <w:rPr>
                <w:rFonts w:ascii="Times New Roman" w:hAnsi="Times New Roman"/>
                <w:sz w:val="24"/>
              </w:rPr>
              <w:t>1670</w:t>
            </w:r>
          </w:p>
        </w:tc>
        <w:tc>
          <w:tcPr>
            <w:tcW w:w="7371" w:type="dxa"/>
          </w:tcPr>
          <w:p w14:paraId="7F0668D7" w14:textId="48582119"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2.2.6.1. Των οποίων οι εξασφαλίσεις που ανταλλάσσονται πληρούν τις λειτουργικές απαιτήσεις</w:t>
            </w:r>
          </w:p>
          <w:p w14:paraId="2C5E61EB" w14:textId="5FE093FE"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2.2.6. τα πιστωτικά ιδρύματα αναφέρουν:</w:t>
            </w:r>
          </w:p>
          <w:p w14:paraId="7F2A51E9" w14:textId="459A6BDD"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παρέχεται ως δάνειο το οποίο,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1A38D589" w14:textId="5028C90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2AB53D06" w14:textId="77777777" w:rsidTr="0039321F">
        <w:tc>
          <w:tcPr>
            <w:tcW w:w="703" w:type="dxa"/>
            <w:vAlign w:val="center"/>
          </w:tcPr>
          <w:p w14:paraId="5BFBCC5C" w14:textId="39BCBA54" w:rsidR="00F71050" w:rsidRPr="000B6B22" w:rsidRDefault="00AD7441">
            <w:pPr>
              <w:spacing w:before="0"/>
              <w:rPr>
                <w:rFonts w:ascii="Times New Roman" w:eastAsia="PMingLiU" w:hAnsi="Times New Roman"/>
                <w:sz w:val="24"/>
              </w:rPr>
            </w:pPr>
            <w:r>
              <w:rPr>
                <w:rFonts w:ascii="Times New Roman" w:hAnsi="Times New Roman"/>
                <w:sz w:val="24"/>
              </w:rPr>
              <w:t>1680</w:t>
            </w:r>
          </w:p>
        </w:tc>
        <w:tc>
          <w:tcPr>
            <w:tcW w:w="7371" w:type="dxa"/>
          </w:tcPr>
          <w:p w14:paraId="3B33D447" w14:textId="47B5509C"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2.2.7. Άλλα στοιχεία ενεργητικού επιπέδου 2Β</w:t>
            </w:r>
          </w:p>
          <w:p w14:paraId="5ADB50BD" w14:textId="325F891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επιπέδου 1 εξαιρετικά υψηλής ποιότητας καλυμμένα ομόλογα (που παρέχονται ως δάνειο) με άλλα στοιχεία επιπέδου 2Β (που λαμβάνονται ως δάνειο).</w:t>
            </w:r>
          </w:p>
        </w:tc>
      </w:tr>
      <w:tr w:rsidR="00B47B7D" w:rsidRPr="000B6B22" w14:paraId="67CE0A61" w14:textId="77777777" w:rsidTr="0039321F">
        <w:tc>
          <w:tcPr>
            <w:tcW w:w="703" w:type="dxa"/>
            <w:vAlign w:val="center"/>
          </w:tcPr>
          <w:p w14:paraId="05F2EB45" w14:textId="184501D5" w:rsidR="00F71050" w:rsidRPr="000B6B22" w:rsidRDefault="00AD7441">
            <w:pPr>
              <w:spacing w:before="0"/>
              <w:rPr>
                <w:rFonts w:ascii="Times New Roman" w:eastAsia="PMingLiU" w:hAnsi="Times New Roman"/>
                <w:sz w:val="24"/>
              </w:rPr>
            </w:pPr>
            <w:r>
              <w:rPr>
                <w:rFonts w:ascii="Times New Roman" w:hAnsi="Times New Roman"/>
                <w:sz w:val="24"/>
              </w:rPr>
              <w:t>1690</w:t>
            </w:r>
          </w:p>
        </w:tc>
        <w:tc>
          <w:tcPr>
            <w:tcW w:w="7371" w:type="dxa"/>
          </w:tcPr>
          <w:p w14:paraId="5338729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2.2.7.1. Των οποίων οι εξασφαλίσεις που ανταλλάσσονται πληρούν τις λειτουργικές απαιτήσεις</w:t>
            </w:r>
          </w:p>
          <w:p w14:paraId="195ECBDA" w14:textId="161BA674" w:rsidR="00F71050" w:rsidRPr="000B6B22" w:rsidRDefault="00F71050" w:rsidP="009D4EFF">
            <w:pPr>
              <w:spacing w:before="0"/>
              <w:ind w:left="-84"/>
              <w:rPr>
                <w:rFonts w:ascii="Times New Roman" w:hAnsi="Times New Roman"/>
                <w:sz w:val="24"/>
              </w:rPr>
            </w:pPr>
            <w:r>
              <w:rPr>
                <w:rFonts w:ascii="Times New Roman" w:hAnsi="Times New Roman"/>
                <w:sz w:val="24"/>
              </w:rPr>
              <w:lastRenderedPageBreak/>
              <w:t>Από τις συναλλαγές που αναφέρονται στο σημείο 2.2.7. τα πιστωτικά ιδρύματα αναφέρουν:</w:t>
            </w:r>
          </w:p>
          <w:p w14:paraId="15E75E5F" w14:textId="3DCD7B38"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παρέχεται ως δάνειο το οποίο,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190B7682" w14:textId="0EFCED5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5B454109" w14:textId="77777777" w:rsidTr="0039321F">
        <w:tc>
          <w:tcPr>
            <w:tcW w:w="703" w:type="dxa"/>
            <w:vAlign w:val="center"/>
          </w:tcPr>
          <w:p w14:paraId="66710B12" w14:textId="2A640FA3" w:rsidR="00F71050" w:rsidRPr="000B6B22" w:rsidRDefault="00AD7441">
            <w:pPr>
              <w:spacing w:before="0"/>
              <w:rPr>
                <w:rFonts w:ascii="Times New Roman" w:eastAsia="PMingLiU" w:hAnsi="Times New Roman"/>
                <w:sz w:val="24"/>
              </w:rPr>
            </w:pPr>
            <w:r>
              <w:rPr>
                <w:rFonts w:ascii="Times New Roman" w:hAnsi="Times New Roman"/>
                <w:sz w:val="24"/>
              </w:rPr>
              <w:lastRenderedPageBreak/>
              <w:t>1700</w:t>
            </w:r>
          </w:p>
        </w:tc>
        <w:tc>
          <w:tcPr>
            <w:tcW w:w="7371" w:type="dxa"/>
          </w:tcPr>
          <w:p w14:paraId="593E64D4" w14:textId="1829B57D"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2.2.8. Μη ρευστά στοιχεία ενεργητικού</w:t>
            </w:r>
          </w:p>
          <w:p w14:paraId="5A67CD8B" w14:textId="72C035E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επιπέδου 1 εξαιρετικά υψηλής ποιότητας καλυμμένα ομόλογα (που παρέχονται ως δάνειο) με μη ρευστά στοιχεία ενεργητικού (που λαμβάνονται ως δάνειο).</w:t>
            </w:r>
          </w:p>
        </w:tc>
      </w:tr>
      <w:tr w:rsidR="00B47B7D" w:rsidRPr="000B6B22" w14:paraId="260534B3" w14:textId="77777777" w:rsidTr="0039321F">
        <w:tc>
          <w:tcPr>
            <w:tcW w:w="703" w:type="dxa"/>
            <w:shd w:val="clear" w:color="auto" w:fill="auto"/>
            <w:vAlign w:val="center"/>
          </w:tcPr>
          <w:p w14:paraId="0ADCD38F" w14:textId="5BB8B016" w:rsidR="00F71050" w:rsidRPr="000B6B22" w:rsidRDefault="00AD7441">
            <w:pPr>
              <w:spacing w:before="0"/>
              <w:rPr>
                <w:rFonts w:ascii="Times New Roman" w:eastAsia="PMingLiU" w:hAnsi="Times New Roman"/>
                <w:sz w:val="24"/>
              </w:rPr>
            </w:pPr>
            <w:r>
              <w:rPr>
                <w:rFonts w:ascii="Times New Roman" w:hAnsi="Times New Roman"/>
                <w:sz w:val="24"/>
              </w:rPr>
              <w:t>1710</w:t>
            </w:r>
          </w:p>
        </w:tc>
        <w:tc>
          <w:tcPr>
            <w:tcW w:w="7371" w:type="dxa"/>
            <w:shd w:val="clear" w:color="auto" w:fill="auto"/>
          </w:tcPr>
          <w:p w14:paraId="54ACCDE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2.2.8.1. Των οποίων οι εξασφαλίσεις που ανταλλάσσονται πληρούν τις λειτουργικές απαιτήσεις</w:t>
            </w:r>
          </w:p>
          <w:p w14:paraId="38BC2C88" w14:textId="52E189CE"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Από τις συναλλαγές που αναφέρονται στο σημείο 2.2.8., τα πιστωτικά ιδρύματα αναφέρουν το σκέλος της εξασφάλισης που παρέχεται ως δάνειο το οποίο,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w:t>
            </w:r>
          </w:p>
        </w:tc>
      </w:tr>
      <w:tr w:rsidR="00B47B7D" w:rsidRPr="000B6B22" w14:paraId="578025EB" w14:textId="77777777" w:rsidTr="0039321F">
        <w:tc>
          <w:tcPr>
            <w:tcW w:w="703" w:type="dxa"/>
            <w:shd w:val="clear" w:color="auto" w:fill="auto"/>
            <w:vAlign w:val="center"/>
          </w:tcPr>
          <w:p w14:paraId="30C381F5" w14:textId="57482DF5" w:rsidR="00F71050" w:rsidRPr="000B6B22" w:rsidRDefault="00AD7441">
            <w:pPr>
              <w:spacing w:before="0"/>
              <w:rPr>
                <w:rFonts w:ascii="Times New Roman" w:eastAsia="PMingLiU" w:hAnsi="Times New Roman"/>
                <w:sz w:val="24"/>
              </w:rPr>
            </w:pPr>
            <w:r>
              <w:rPr>
                <w:rFonts w:ascii="Times New Roman" w:hAnsi="Times New Roman"/>
                <w:sz w:val="24"/>
              </w:rPr>
              <w:t>1720</w:t>
            </w:r>
          </w:p>
        </w:tc>
        <w:tc>
          <w:tcPr>
            <w:tcW w:w="7371" w:type="dxa"/>
            <w:shd w:val="clear" w:color="auto" w:fill="auto"/>
          </w:tcPr>
          <w:p w14:paraId="343AE0F0" w14:textId="31709368" w:rsidR="00F71050" w:rsidRPr="000B6B22" w:rsidRDefault="00F71050" w:rsidP="009D4EFF">
            <w:pPr>
              <w:spacing w:before="0"/>
              <w:ind w:left="-84"/>
              <w:rPr>
                <w:rFonts w:ascii="Times New Roman" w:eastAsia="PMingLiU" w:hAnsi="Times New Roman"/>
                <w:sz w:val="24"/>
              </w:rPr>
            </w:pPr>
            <w:r>
              <w:rPr>
                <w:rFonts w:ascii="Times New Roman" w:hAnsi="Times New Roman"/>
                <w:b/>
                <w:sz w:val="24"/>
              </w:rPr>
              <w:t>2.3. Σύνολα για συναλλαγές κατά τις οποίες τα στοιχεία ενεργητικού επιπέδου 2Α παρέχονται ως δάνειο και οι ακόλουθες εξασφαλίσεις λαμβάνονται ως δάνειο:</w:t>
            </w:r>
          </w:p>
          <w:p w14:paraId="52FF7B82" w14:textId="46D3C204"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Άρθρο 28 παράγραφος 4 και άρθρο 32 παράγραφος 3 του κατ’ εξουσιοδότηση κανονισμού (ΕΕ) 2015/61</w:t>
            </w:r>
          </w:p>
          <w:p w14:paraId="52D52F30" w14:textId="1D98B2C9"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Τα πιστωτικά ιδρύματα αναφέρουν εδώ, για τις σχετικές στήλες, τις συνολικές αξίες των πράξεων ανταλλαγής εξασφαλίσεων για συναλλαγές κατά τις οποίες στοιχεία ενεργητικού επιπέδου 2Α παρέχονται ως δάνειο.</w:t>
            </w:r>
          </w:p>
        </w:tc>
      </w:tr>
      <w:tr w:rsidR="00B47B7D" w:rsidRPr="000B6B22" w14:paraId="6934C931" w14:textId="77777777" w:rsidTr="0039321F">
        <w:tc>
          <w:tcPr>
            <w:tcW w:w="703" w:type="dxa"/>
            <w:vAlign w:val="center"/>
          </w:tcPr>
          <w:p w14:paraId="6A3B8E45" w14:textId="0717F469" w:rsidR="00F71050" w:rsidRPr="000B6B22" w:rsidRDefault="00AD7441">
            <w:pPr>
              <w:spacing w:before="0"/>
              <w:rPr>
                <w:rFonts w:ascii="Times New Roman" w:eastAsia="PMingLiU" w:hAnsi="Times New Roman"/>
                <w:sz w:val="24"/>
              </w:rPr>
            </w:pPr>
            <w:r>
              <w:rPr>
                <w:rFonts w:ascii="Times New Roman" w:hAnsi="Times New Roman"/>
                <w:sz w:val="24"/>
              </w:rPr>
              <w:t>1730</w:t>
            </w:r>
          </w:p>
        </w:tc>
        <w:tc>
          <w:tcPr>
            <w:tcW w:w="7371" w:type="dxa"/>
          </w:tcPr>
          <w:p w14:paraId="09CDEE7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2.3.1. Στοιχεία ενεργητικού επιπέδου 1 (εξαιρουμένων των ΕΥΠ καλυμμένων ομολόγων)</w:t>
            </w:r>
          </w:p>
          <w:p w14:paraId="5491674D" w14:textId="060F7CF3"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sz w:val="24"/>
              </w:rPr>
              <w:t>Συναλλαγές κατά τις οποίες το ίδρυμα έχει ανταλλάξει στοιχεία ενεργητικού επιπέδου 2Α (που παρέχονται ως δάνειο) με στοιχεία ενεργητικού επιπέδου 1 εξαιρουμένων των ΕΥΠ καλυμμένων ομολόγων (που λαμβάνονται ως δάνειο).</w:t>
            </w:r>
          </w:p>
        </w:tc>
      </w:tr>
      <w:tr w:rsidR="00B47B7D" w:rsidRPr="000B6B22" w14:paraId="7AB20E9F" w14:textId="77777777" w:rsidTr="0039321F">
        <w:tc>
          <w:tcPr>
            <w:tcW w:w="703" w:type="dxa"/>
            <w:vAlign w:val="center"/>
          </w:tcPr>
          <w:p w14:paraId="29173CEF" w14:textId="3D0822E8" w:rsidR="00F71050" w:rsidRPr="000B6B22" w:rsidRDefault="00AD7441">
            <w:pPr>
              <w:spacing w:before="0"/>
              <w:rPr>
                <w:rFonts w:ascii="Times New Roman" w:eastAsia="PMingLiU" w:hAnsi="Times New Roman"/>
                <w:sz w:val="24"/>
              </w:rPr>
            </w:pPr>
            <w:r>
              <w:rPr>
                <w:rFonts w:ascii="Times New Roman" w:hAnsi="Times New Roman"/>
                <w:sz w:val="24"/>
              </w:rPr>
              <w:t>1740</w:t>
            </w:r>
          </w:p>
        </w:tc>
        <w:tc>
          <w:tcPr>
            <w:tcW w:w="7371" w:type="dxa"/>
          </w:tcPr>
          <w:p w14:paraId="7B89786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2.3.1.1. Των οποίων οι εξασφαλίσεις που ανταλλάσσονται πληρούν τις λειτουργικές απαιτήσεις</w:t>
            </w:r>
          </w:p>
          <w:p w14:paraId="368D7175" w14:textId="1B392509"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2.3.1. τα πιστωτικά ιδρύματα αναφέρουν:</w:t>
            </w:r>
          </w:p>
          <w:p w14:paraId="04CBFB71" w14:textId="7A4E8AEE"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παρέχεται ως δάνειο το οποίο,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7DA9EB3A" w14:textId="3234C34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4C0C15F5" w14:textId="77777777" w:rsidTr="0039321F">
        <w:tc>
          <w:tcPr>
            <w:tcW w:w="703" w:type="dxa"/>
            <w:vAlign w:val="center"/>
          </w:tcPr>
          <w:p w14:paraId="1BE7E206" w14:textId="7C2FF20C" w:rsidR="00F71050" w:rsidRPr="000B6B22" w:rsidRDefault="00AD7441">
            <w:pPr>
              <w:spacing w:before="0"/>
              <w:rPr>
                <w:rFonts w:ascii="Times New Roman" w:eastAsia="PMingLiU" w:hAnsi="Times New Roman"/>
                <w:sz w:val="24"/>
              </w:rPr>
            </w:pPr>
            <w:r>
              <w:rPr>
                <w:rFonts w:ascii="Times New Roman" w:hAnsi="Times New Roman"/>
                <w:sz w:val="24"/>
              </w:rPr>
              <w:lastRenderedPageBreak/>
              <w:t>1750</w:t>
            </w:r>
          </w:p>
        </w:tc>
        <w:tc>
          <w:tcPr>
            <w:tcW w:w="7371" w:type="dxa"/>
          </w:tcPr>
          <w:p w14:paraId="2FCAA245" w14:textId="2D3517BF"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2.3.2. Επιπέδου 1 εξαιρετικά υψηλής ποιότητας καλυμμένα ομόλογα</w:t>
            </w:r>
          </w:p>
          <w:p w14:paraId="5EDFD570" w14:textId="7981B55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στοιχεία ενεργητικού επιπέδου 2Α (που παρέχονται ως δάνειο) με επιπέδου 1 εξαιρετικά υψηλής ποιότητας καλυμμένα ομόλογα (που λαμβάνονται ως δάνειο).</w:t>
            </w:r>
          </w:p>
        </w:tc>
      </w:tr>
      <w:tr w:rsidR="00B47B7D" w:rsidRPr="000B6B22" w14:paraId="396969B8" w14:textId="77777777" w:rsidTr="0039321F">
        <w:tc>
          <w:tcPr>
            <w:tcW w:w="703" w:type="dxa"/>
            <w:shd w:val="clear" w:color="auto" w:fill="FFFFFF"/>
            <w:vAlign w:val="center"/>
          </w:tcPr>
          <w:p w14:paraId="06B343E8" w14:textId="5665B968" w:rsidR="00F71050" w:rsidRPr="000B6B22" w:rsidRDefault="00AD7441">
            <w:pPr>
              <w:spacing w:before="0"/>
              <w:rPr>
                <w:rFonts w:ascii="Times New Roman" w:eastAsia="PMingLiU" w:hAnsi="Times New Roman"/>
                <w:sz w:val="24"/>
              </w:rPr>
            </w:pPr>
            <w:r>
              <w:rPr>
                <w:rFonts w:ascii="Times New Roman" w:hAnsi="Times New Roman"/>
                <w:sz w:val="24"/>
              </w:rPr>
              <w:t>1760</w:t>
            </w:r>
          </w:p>
        </w:tc>
        <w:tc>
          <w:tcPr>
            <w:tcW w:w="7371" w:type="dxa"/>
            <w:shd w:val="clear" w:color="auto" w:fill="FFFFFF"/>
          </w:tcPr>
          <w:p w14:paraId="2640BDF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2.3.2.1. Των οποίων οι εξασφαλίσεις που ανταλλάσσονται πληρούν τις λειτουργικές απαιτήσεις</w:t>
            </w:r>
          </w:p>
          <w:p w14:paraId="467D75AF" w14:textId="5423D574"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2.3.2. τα πιστωτικά ιδρύματα αναφέρουν:</w:t>
            </w:r>
          </w:p>
          <w:p w14:paraId="4F934B90" w14:textId="001742C6"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παρέχεται ως δάνειο το οποίο,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4257B28C" w14:textId="176949D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565EAC7A" w14:textId="77777777" w:rsidTr="0039321F">
        <w:tc>
          <w:tcPr>
            <w:tcW w:w="703" w:type="dxa"/>
            <w:shd w:val="clear" w:color="auto" w:fill="FFFFFF"/>
            <w:vAlign w:val="center"/>
          </w:tcPr>
          <w:p w14:paraId="1C098EEA" w14:textId="1786BF26" w:rsidR="00F71050" w:rsidRPr="000B6B22" w:rsidRDefault="00AD7441">
            <w:pPr>
              <w:spacing w:before="0"/>
              <w:rPr>
                <w:rFonts w:ascii="Times New Roman" w:eastAsia="PMingLiU" w:hAnsi="Times New Roman"/>
                <w:sz w:val="24"/>
              </w:rPr>
            </w:pPr>
            <w:r>
              <w:rPr>
                <w:rFonts w:ascii="Times New Roman" w:hAnsi="Times New Roman"/>
                <w:sz w:val="24"/>
              </w:rPr>
              <w:t>1770</w:t>
            </w:r>
          </w:p>
        </w:tc>
        <w:tc>
          <w:tcPr>
            <w:tcW w:w="7371" w:type="dxa"/>
            <w:shd w:val="clear" w:color="auto" w:fill="FFFFFF"/>
          </w:tcPr>
          <w:p w14:paraId="1649D453" w14:textId="3D41D75B"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2.3.3. Στοιχεία ενεργητικού επιπέδου 2Α</w:t>
            </w:r>
          </w:p>
          <w:p w14:paraId="5DE286EA" w14:textId="7DD7F0DD"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στοιχεία ενεργητικού επιπέδου 2Α (που παρέχονται ως δάνειο) με στοιχεία ενεργητικού επιπέδου 2Α (που λαμβάνονται ως δάνειο).</w:t>
            </w:r>
          </w:p>
        </w:tc>
      </w:tr>
      <w:tr w:rsidR="00B47B7D" w:rsidRPr="000B6B22" w14:paraId="5B51516E" w14:textId="77777777" w:rsidTr="0039321F">
        <w:tc>
          <w:tcPr>
            <w:tcW w:w="703" w:type="dxa"/>
            <w:vAlign w:val="center"/>
          </w:tcPr>
          <w:p w14:paraId="090BACA0" w14:textId="275FCBA7" w:rsidR="00F71050" w:rsidRPr="000B6B22" w:rsidRDefault="00AD7441">
            <w:pPr>
              <w:spacing w:before="0"/>
              <w:rPr>
                <w:rFonts w:ascii="Times New Roman" w:eastAsia="PMingLiU" w:hAnsi="Times New Roman"/>
                <w:sz w:val="24"/>
              </w:rPr>
            </w:pPr>
            <w:r>
              <w:rPr>
                <w:rFonts w:ascii="Times New Roman" w:hAnsi="Times New Roman"/>
                <w:sz w:val="24"/>
              </w:rPr>
              <w:t>1780</w:t>
            </w:r>
          </w:p>
        </w:tc>
        <w:tc>
          <w:tcPr>
            <w:tcW w:w="7371" w:type="dxa"/>
            <w:shd w:val="clear" w:color="auto" w:fill="auto"/>
          </w:tcPr>
          <w:p w14:paraId="1FEA239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2.3.3.1. Των οποίων οι εξασφαλίσεις που ανταλλάσσονται πληρούν τις λειτουργικές απαιτήσεις</w:t>
            </w:r>
          </w:p>
          <w:p w14:paraId="60554B76" w14:textId="60405275"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2.3.3. τα πιστωτικά ιδρύματα αναφέρουν:</w:t>
            </w:r>
          </w:p>
          <w:p w14:paraId="0EAF11F4" w14:textId="1EA83C3B"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παρέχεται ως δάνειο το οποίο,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43B6EA8F" w14:textId="371B623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577AC082" w14:textId="77777777" w:rsidTr="0039321F">
        <w:tc>
          <w:tcPr>
            <w:tcW w:w="703" w:type="dxa"/>
            <w:vAlign w:val="center"/>
          </w:tcPr>
          <w:p w14:paraId="59ADCEDD" w14:textId="21149E03" w:rsidR="00F71050" w:rsidRPr="000B6B22" w:rsidRDefault="00AD7441">
            <w:pPr>
              <w:spacing w:before="0"/>
              <w:rPr>
                <w:rFonts w:ascii="Times New Roman" w:eastAsia="PMingLiU" w:hAnsi="Times New Roman"/>
                <w:sz w:val="24"/>
              </w:rPr>
            </w:pPr>
            <w:r>
              <w:rPr>
                <w:rFonts w:ascii="Times New Roman" w:hAnsi="Times New Roman"/>
                <w:sz w:val="24"/>
              </w:rPr>
              <w:t>1790</w:t>
            </w:r>
          </w:p>
        </w:tc>
        <w:tc>
          <w:tcPr>
            <w:tcW w:w="7371" w:type="dxa"/>
            <w:shd w:val="clear" w:color="auto" w:fill="auto"/>
          </w:tcPr>
          <w:p w14:paraId="3A4F713A" w14:textId="309406CA"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2.3.4. Επιπέδου 2Β τίτλοι από τιτλοποίηση (στεγαστικά δάνεια ή δάνεια για αγορά αυτοκινήτου, ΒΠΠ1)</w:t>
            </w:r>
          </w:p>
          <w:p w14:paraId="63DE0535" w14:textId="45AA44C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στοιχεία ενεργητικού επιπέδου 2Α (που παρέχονται ως δάνειο) με τίτλους από τιτλοποίηση επιπέδου 2Β (στεγαστικά δάνεια ή δάνεια αγοράς αυτοκινήτου, ΒΠΠ 1) (που λαμβάνονται ως δάνειο)</w:t>
            </w:r>
          </w:p>
        </w:tc>
      </w:tr>
      <w:tr w:rsidR="00B47B7D" w:rsidRPr="000B6B22" w14:paraId="61D311AA" w14:textId="77777777" w:rsidTr="0039321F">
        <w:tc>
          <w:tcPr>
            <w:tcW w:w="703" w:type="dxa"/>
            <w:vAlign w:val="center"/>
          </w:tcPr>
          <w:p w14:paraId="1B38178A" w14:textId="2EFE927C" w:rsidR="00F71050" w:rsidRPr="000B6B22" w:rsidRDefault="00AD7441">
            <w:pPr>
              <w:spacing w:before="0"/>
              <w:rPr>
                <w:rFonts w:ascii="Times New Roman" w:eastAsia="PMingLiU" w:hAnsi="Times New Roman"/>
                <w:sz w:val="24"/>
              </w:rPr>
            </w:pPr>
            <w:r>
              <w:rPr>
                <w:rFonts w:ascii="Times New Roman" w:hAnsi="Times New Roman"/>
                <w:sz w:val="24"/>
              </w:rPr>
              <w:t>1800</w:t>
            </w:r>
          </w:p>
        </w:tc>
        <w:tc>
          <w:tcPr>
            <w:tcW w:w="7371" w:type="dxa"/>
            <w:shd w:val="clear" w:color="auto" w:fill="auto"/>
          </w:tcPr>
          <w:p w14:paraId="51EBDA9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2.3.4.1. Των οποίων οι εξασφαλίσεις που ανταλλάσσονται πληρούν τις λειτουργικές απαιτήσεις</w:t>
            </w:r>
          </w:p>
          <w:p w14:paraId="06F31BC2" w14:textId="301D0AA4" w:rsidR="00F71050" w:rsidRPr="000B6B22" w:rsidRDefault="00F71050" w:rsidP="009D4EFF">
            <w:pPr>
              <w:spacing w:before="0"/>
              <w:ind w:left="-84"/>
              <w:rPr>
                <w:rFonts w:ascii="Times New Roman" w:hAnsi="Times New Roman"/>
                <w:sz w:val="24"/>
              </w:rPr>
            </w:pPr>
            <w:r>
              <w:rPr>
                <w:rFonts w:ascii="Times New Roman" w:hAnsi="Times New Roman"/>
                <w:sz w:val="24"/>
              </w:rPr>
              <w:lastRenderedPageBreak/>
              <w:t>Από τις συναλλαγές που αναφέρονται στο σημείο 2.3.4. τα πιστωτικά ιδρύματα αναφέρουν:</w:t>
            </w:r>
          </w:p>
          <w:p w14:paraId="40ECAC01" w14:textId="652DFD95"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παρέχεται ως δάνειο το οποίο,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63F8FB71" w14:textId="30662C5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71BF783D" w14:textId="77777777" w:rsidTr="0039321F">
        <w:tc>
          <w:tcPr>
            <w:tcW w:w="703" w:type="dxa"/>
            <w:vAlign w:val="center"/>
          </w:tcPr>
          <w:p w14:paraId="79598B02" w14:textId="77467E21" w:rsidR="00F71050" w:rsidRPr="000B6B22" w:rsidRDefault="00AD7441">
            <w:pPr>
              <w:spacing w:before="0"/>
              <w:rPr>
                <w:rFonts w:ascii="Times New Roman" w:eastAsia="PMingLiU" w:hAnsi="Times New Roman"/>
                <w:sz w:val="24"/>
              </w:rPr>
            </w:pPr>
            <w:r>
              <w:rPr>
                <w:rFonts w:ascii="Times New Roman" w:hAnsi="Times New Roman"/>
                <w:sz w:val="24"/>
              </w:rPr>
              <w:lastRenderedPageBreak/>
              <w:t>1810</w:t>
            </w:r>
          </w:p>
        </w:tc>
        <w:tc>
          <w:tcPr>
            <w:tcW w:w="7371" w:type="dxa"/>
            <w:shd w:val="clear" w:color="auto" w:fill="auto"/>
          </w:tcPr>
          <w:p w14:paraId="006DF8E2" w14:textId="5ABF34E8"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2.3.5. Επιπέδου 2Β υψηλής ποιότητας καλυμμένα ομόλογα</w:t>
            </w:r>
          </w:p>
          <w:p w14:paraId="746214A8" w14:textId="447AB83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στοιχεία ενεργητικού επιπέδου 2Α (που παρέχονται ως δάνειο) με υψηλής ποιότητας καλυμμένα ομόλογα επιπέδου 2Β (που λαμβάνονται ως δάνειο).</w:t>
            </w:r>
          </w:p>
        </w:tc>
      </w:tr>
      <w:tr w:rsidR="00B47B7D" w:rsidRPr="000B6B22" w14:paraId="3EF89B3C" w14:textId="77777777" w:rsidTr="0039321F">
        <w:tc>
          <w:tcPr>
            <w:tcW w:w="703" w:type="dxa"/>
            <w:shd w:val="clear" w:color="auto" w:fill="FFFFFF"/>
            <w:vAlign w:val="center"/>
          </w:tcPr>
          <w:p w14:paraId="5974A07D" w14:textId="6661A515" w:rsidR="00F71050" w:rsidRPr="000B6B22" w:rsidRDefault="00AD7441">
            <w:pPr>
              <w:spacing w:before="0"/>
              <w:rPr>
                <w:rFonts w:ascii="Times New Roman" w:eastAsia="PMingLiU" w:hAnsi="Times New Roman"/>
                <w:sz w:val="24"/>
              </w:rPr>
            </w:pPr>
            <w:r>
              <w:rPr>
                <w:rFonts w:ascii="Times New Roman" w:hAnsi="Times New Roman"/>
                <w:sz w:val="24"/>
              </w:rPr>
              <w:t>1820</w:t>
            </w:r>
          </w:p>
        </w:tc>
        <w:tc>
          <w:tcPr>
            <w:tcW w:w="7371" w:type="dxa"/>
            <w:shd w:val="clear" w:color="auto" w:fill="FFFFFF"/>
          </w:tcPr>
          <w:p w14:paraId="6A3DBDA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2.3.5.1. Των οποίων οι εξασφαλίσεις που ανταλλάσσονται πληρούν τις λειτουργικές απαιτήσεις</w:t>
            </w:r>
          </w:p>
          <w:p w14:paraId="741EDC8F" w14:textId="32FA9B68"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2.3.5. τα πιστωτικά ιδρύματα αναφέρουν:</w:t>
            </w:r>
          </w:p>
          <w:p w14:paraId="27D506DA" w14:textId="5328B4CE"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παρέχεται ως δάνειο το οποίο,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4110DCEF" w14:textId="5BAD1C6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5EC7A844" w14:textId="77777777" w:rsidTr="0039321F">
        <w:tc>
          <w:tcPr>
            <w:tcW w:w="703" w:type="dxa"/>
            <w:shd w:val="clear" w:color="auto" w:fill="FFFFFF"/>
            <w:vAlign w:val="center"/>
          </w:tcPr>
          <w:p w14:paraId="6268218A" w14:textId="4B070273" w:rsidR="00F71050" w:rsidRPr="000B6B22" w:rsidRDefault="00AD7441">
            <w:pPr>
              <w:spacing w:before="0"/>
              <w:rPr>
                <w:rFonts w:ascii="Times New Roman" w:eastAsia="PMingLiU" w:hAnsi="Times New Roman"/>
                <w:sz w:val="24"/>
              </w:rPr>
            </w:pPr>
            <w:r>
              <w:rPr>
                <w:rFonts w:ascii="Times New Roman" w:hAnsi="Times New Roman"/>
                <w:sz w:val="24"/>
              </w:rPr>
              <w:t>1830</w:t>
            </w:r>
          </w:p>
        </w:tc>
        <w:tc>
          <w:tcPr>
            <w:tcW w:w="7371" w:type="dxa"/>
            <w:shd w:val="clear" w:color="auto" w:fill="FFFFFF"/>
          </w:tcPr>
          <w:p w14:paraId="360A194A" w14:textId="1B266B0A"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2.3.6. Επιπέδου 2Β τίτλοι από τιτλοποίηση (εμπορικά δάνεια ή δάνεια σε ιδιώτες, κράτος μέλος, ΒΠΠ1)</w:t>
            </w:r>
          </w:p>
          <w:p w14:paraId="0A0E39AF" w14:textId="105BB22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στοιχεία ενεργητικού επιπέδου 2Α (που παρέχονται ως δάνειο) με στοιχεία επιπέδου 2Β: τίτλους από τιτλοποίηση (εμπορικά δάνεια ή δάνεια σε ιδιώτες, κράτος μέλος, ΒΠΠ1) (που λαμβάνονται ως δάνειο).</w:t>
            </w:r>
          </w:p>
        </w:tc>
      </w:tr>
      <w:tr w:rsidR="00B47B7D" w:rsidRPr="000B6B22" w14:paraId="7A55CC0B" w14:textId="77777777" w:rsidTr="0039321F">
        <w:tc>
          <w:tcPr>
            <w:tcW w:w="703" w:type="dxa"/>
            <w:shd w:val="clear" w:color="auto" w:fill="FFFFFF"/>
            <w:vAlign w:val="center"/>
          </w:tcPr>
          <w:p w14:paraId="2C8F33A9" w14:textId="66F5DE3A" w:rsidR="00F71050" w:rsidRPr="000B6B22" w:rsidRDefault="00AD7441">
            <w:pPr>
              <w:spacing w:before="0"/>
              <w:rPr>
                <w:rFonts w:ascii="Times New Roman" w:eastAsia="PMingLiU" w:hAnsi="Times New Roman"/>
                <w:sz w:val="24"/>
              </w:rPr>
            </w:pPr>
            <w:r>
              <w:rPr>
                <w:rFonts w:ascii="Times New Roman" w:hAnsi="Times New Roman"/>
                <w:sz w:val="24"/>
              </w:rPr>
              <w:t>1840</w:t>
            </w:r>
          </w:p>
        </w:tc>
        <w:tc>
          <w:tcPr>
            <w:tcW w:w="7371" w:type="dxa"/>
            <w:shd w:val="clear" w:color="auto" w:fill="FFFFFF"/>
          </w:tcPr>
          <w:p w14:paraId="0CBDB70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2.3.6.1. Των οποίων οι εξασφαλίσεις που ανταλλάσσονται πληρούν τις λειτουργικές απαιτήσεις</w:t>
            </w:r>
          </w:p>
          <w:p w14:paraId="222C3847" w14:textId="28CEF576"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2.3.6. τα πιστωτικά ιδρύματα αναφέρουν:</w:t>
            </w:r>
          </w:p>
          <w:p w14:paraId="2CEA6BF6" w14:textId="26AB818A"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παρέχεται ως δάνειο το οποίο,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06AEC8B0" w14:textId="1C95648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58892359" w14:textId="77777777" w:rsidTr="0039321F">
        <w:tc>
          <w:tcPr>
            <w:tcW w:w="703" w:type="dxa"/>
            <w:shd w:val="clear" w:color="auto" w:fill="FFFFFF"/>
            <w:vAlign w:val="center"/>
          </w:tcPr>
          <w:p w14:paraId="4881C678" w14:textId="015B38DB" w:rsidR="00F71050" w:rsidRPr="000B6B22" w:rsidRDefault="00AD7441">
            <w:pPr>
              <w:spacing w:before="0"/>
              <w:rPr>
                <w:rFonts w:ascii="Times New Roman" w:eastAsia="PMingLiU" w:hAnsi="Times New Roman"/>
                <w:sz w:val="24"/>
              </w:rPr>
            </w:pPr>
            <w:r>
              <w:rPr>
                <w:rFonts w:ascii="Times New Roman" w:hAnsi="Times New Roman"/>
                <w:sz w:val="24"/>
              </w:rPr>
              <w:t>1850</w:t>
            </w:r>
          </w:p>
        </w:tc>
        <w:tc>
          <w:tcPr>
            <w:tcW w:w="7371" w:type="dxa"/>
            <w:shd w:val="clear" w:color="auto" w:fill="FFFFFF"/>
          </w:tcPr>
          <w:p w14:paraId="00D041B0" w14:textId="2A3E36E8"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2.3.7. Άλλα στοιχεία ενεργητικού επιπέδου 2Β</w:t>
            </w:r>
          </w:p>
          <w:p w14:paraId="2916535F" w14:textId="6D6BDB3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Συναλλαγές κατά τις οποίες το ίδρυμα έχει ανταλλάξει στοιχεία ενεργητικού επιπέδου 2Α (που παρέχονται ως δάνειο) με άλλα στοιχεία επιπέδου 2Β (που λαμβάνονται ως δάνειο).</w:t>
            </w:r>
          </w:p>
        </w:tc>
      </w:tr>
      <w:tr w:rsidR="00B47B7D" w:rsidRPr="000B6B22" w14:paraId="19A114FE" w14:textId="77777777" w:rsidTr="0039321F">
        <w:tc>
          <w:tcPr>
            <w:tcW w:w="703" w:type="dxa"/>
            <w:shd w:val="clear" w:color="auto" w:fill="FFFFFF"/>
            <w:vAlign w:val="center"/>
          </w:tcPr>
          <w:p w14:paraId="201E043F" w14:textId="23A0DE9C" w:rsidR="00F71050" w:rsidRPr="000B6B22" w:rsidRDefault="00AD7441">
            <w:pPr>
              <w:spacing w:before="0"/>
              <w:rPr>
                <w:rFonts w:ascii="Times New Roman" w:eastAsia="PMingLiU" w:hAnsi="Times New Roman"/>
                <w:sz w:val="24"/>
              </w:rPr>
            </w:pPr>
            <w:r>
              <w:rPr>
                <w:rFonts w:ascii="Times New Roman" w:hAnsi="Times New Roman"/>
                <w:sz w:val="24"/>
              </w:rPr>
              <w:lastRenderedPageBreak/>
              <w:t>1860</w:t>
            </w:r>
          </w:p>
        </w:tc>
        <w:tc>
          <w:tcPr>
            <w:tcW w:w="7371" w:type="dxa"/>
            <w:shd w:val="clear" w:color="auto" w:fill="FFFFFF"/>
          </w:tcPr>
          <w:p w14:paraId="3A95A27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2.3.7.1. Των οποίων οι εξασφαλίσεις που ανταλλάσσονται πληρούν τις λειτουργικές απαιτήσεις</w:t>
            </w:r>
          </w:p>
          <w:p w14:paraId="080728CB" w14:textId="5DC6E0C4"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2.3.7. τα πιστωτικά ιδρύματα αναφέρουν:</w:t>
            </w:r>
          </w:p>
          <w:p w14:paraId="4FE47758" w14:textId="31A9BA29"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παρέχεται ως δάνειο το οποίο,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7E4AE0DA" w14:textId="5757938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7ADAC5C5" w14:textId="77777777" w:rsidTr="0039321F">
        <w:tc>
          <w:tcPr>
            <w:tcW w:w="703" w:type="dxa"/>
            <w:shd w:val="clear" w:color="auto" w:fill="FFFFFF"/>
            <w:vAlign w:val="center"/>
          </w:tcPr>
          <w:p w14:paraId="53AF093F" w14:textId="6D88D139" w:rsidR="00F71050" w:rsidRPr="000B6B22" w:rsidRDefault="00AD7441">
            <w:pPr>
              <w:spacing w:before="0"/>
              <w:rPr>
                <w:rFonts w:ascii="Times New Roman" w:eastAsia="PMingLiU" w:hAnsi="Times New Roman"/>
                <w:sz w:val="24"/>
              </w:rPr>
            </w:pPr>
            <w:r>
              <w:rPr>
                <w:rFonts w:ascii="Times New Roman" w:hAnsi="Times New Roman"/>
                <w:sz w:val="24"/>
              </w:rPr>
              <w:t>1870</w:t>
            </w:r>
          </w:p>
        </w:tc>
        <w:tc>
          <w:tcPr>
            <w:tcW w:w="7371" w:type="dxa"/>
            <w:shd w:val="clear" w:color="auto" w:fill="FFFFFF"/>
          </w:tcPr>
          <w:p w14:paraId="68BAA86F" w14:textId="55C2A92F"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2.3.8. Μη ρευστά στοιχεία ενεργητικού</w:t>
            </w:r>
          </w:p>
          <w:p w14:paraId="3AEB95B3" w14:textId="08F186C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στοιχεία ενεργητικού επιπέδου 2Α (που παρέχονται ως δάνειο) με μη ρευστά στοιχεία ενεργητικού (που λαμβάνονται ως δάνειο).</w:t>
            </w:r>
          </w:p>
        </w:tc>
      </w:tr>
      <w:tr w:rsidR="00B47B7D" w:rsidRPr="000B6B22" w14:paraId="6F4C20FB" w14:textId="77777777" w:rsidTr="0039321F">
        <w:tc>
          <w:tcPr>
            <w:tcW w:w="703" w:type="dxa"/>
            <w:shd w:val="clear" w:color="auto" w:fill="auto"/>
            <w:vAlign w:val="center"/>
          </w:tcPr>
          <w:p w14:paraId="35E21D4A" w14:textId="34CF7926" w:rsidR="00F71050" w:rsidRPr="000B6B22" w:rsidRDefault="00AD7441">
            <w:pPr>
              <w:spacing w:before="0"/>
              <w:rPr>
                <w:rFonts w:ascii="Times New Roman" w:eastAsia="PMingLiU" w:hAnsi="Times New Roman"/>
                <w:sz w:val="24"/>
              </w:rPr>
            </w:pPr>
            <w:r>
              <w:rPr>
                <w:rFonts w:ascii="Times New Roman" w:hAnsi="Times New Roman"/>
                <w:sz w:val="24"/>
              </w:rPr>
              <w:t>1880</w:t>
            </w:r>
          </w:p>
        </w:tc>
        <w:tc>
          <w:tcPr>
            <w:tcW w:w="7371" w:type="dxa"/>
            <w:shd w:val="clear" w:color="auto" w:fill="auto"/>
          </w:tcPr>
          <w:p w14:paraId="5F169AC7" w14:textId="34CC3CD6"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2.3.8.1. Των οποίων οι εξασφαλίσεις που ανταλλάσσονται πληρούν τις λειτουργικές απαιτήσεις</w:t>
            </w:r>
          </w:p>
          <w:p w14:paraId="0F73FA0B" w14:textId="1A46AE98"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Από τις συναλλαγές που αναφέρονται στο σημείο 2.3.8., τα πιστωτικά ιδρύματα αναφέρουν το σκέλος της εξασφάλισης που παρέχεται ως δάνειο το οποίο,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w:t>
            </w:r>
          </w:p>
        </w:tc>
      </w:tr>
      <w:tr w:rsidR="00B47B7D" w:rsidRPr="000B6B22" w14:paraId="7EE0EB61" w14:textId="77777777" w:rsidTr="0039321F">
        <w:tc>
          <w:tcPr>
            <w:tcW w:w="703" w:type="dxa"/>
            <w:shd w:val="clear" w:color="auto" w:fill="auto"/>
            <w:vAlign w:val="center"/>
          </w:tcPr>
          <w:p w14:paraId="569A303C" w14:textId="16676539" w:rsidR="00F71050" w:rsidRPr="000B6B22" w:rsidRDefault="00AD7441">
            <w:pPr>
              <w:spacing w:before="0"/>
              <w:rPr>
                <w:rFonts w:ascii="Times New Roman" w:eastAsia="PMingLiU" w:hAnsi="Times New Roman"/>
                <w:sz w:val="24"/>
              </w:rPr>
            </w:pPr>
            <w:r>
              <w:rPr>
                <w:rFonts w:ascii="Times New Roman" w:hAnsi="Times New Roman"/>
                <w:sz w:val="24"/>
              </w:rPr>
              <w:t>1890</w:t>
            </w:r>
          </w:p>
        </w:tc>
        <w:tc>
          <w:tcPr>
            <w:tcW w:w="7371" w:type="dxa"/>
            <w:shd w:val="clear" w:color="auto" w:fill="auto"/>
          </w:tcPr>
          <w:p w14:paraId="7439575E"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2.4. Σύνολα για συναλλαγές κατά τις οποίες: τίτλοι επιπέδου 2Β από τιτλοποίηση (στεγαστικά δάνεια ή δάνεια για αγορά αυτοκινήτου, ΒΠΠ1) παρέχονται ως δάνειο και οι ακόλουθες εξασφαλίσεις λαμβάνονται ως δάνειο:</w:t>
            </w:r>
          </w:p>
          <w:p w14:paraId="3F35C45D" w14:textId="24A4B052"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Άρθρο 28 παράγραφος 4 και άρθρο 32 παράγραφος 3 του κατ’ εξουσιοδότηση κανονισμού (ΕΕ) 2015/61</w:t>
            </w:r>
          </w:p>
          <w:p w14:paraId="7EB19CFF" w14:textId="5904A12D" w:rsidR="00F71050" w:rsidRPr="000B6B22" w:rsidRDefault="00FB499E" w:rsidP="009D4EFF">
            <w:pPr>
              <w:spacing w:before="0"/>
              <w:ind w:left="-84"/>
              <w:rPr>
                <w:rFonts w:ascii="Times New Roman" w:eastAsia="PMingLiU" w:hAnsi="Times New Roman"/>
                <w:bCs/>
                <w:sz w:val="24"/>
              </w:rPr>
            </w:pPr>
            <w:r>
              <w:rPr>
                <w:rFonts w:ascii="Times New Roman" w:hAnsi="Times New Roman"/>
                <w:sz w:val="24"/>
              </w:rPr>
              <w:t>Τα πιστωτικά ιδρύματα αναφέρουν εδώ, για τις σχετικές στήλες, τις συνολικές αξίες των πράξεων ανταλλαγής εξασφαλίσεων για συναλλαγές κατά τις οποίες τίτλοι από τιτλοποίηση επιπέδου 2Β (στεγαστικά δάνεια ή δάνεια αγοράς αυτοκινήτου, ΒΠΠ1) παρέχονται ως δάνειο.</w:t>
            </w:r>
          </w:p>
        </w:tc>
      </w:tr>
      <w:tr w:rsidR="00B47B7D" w:rsidRPr="000B6B22" w14:paraId="06BCCD08" w14:textId="77777777" w:rsidTr="0039321F">
        <w:tc>
          <w:tcPr>
            <w:tcW w:w="703" w:type="dxa"/>
            <w:shd w:val="clear" w:color="auto" w:fill="FFFFFF"/>
            <w:vAlign w:val="center"/>
          </w:tcPr>
          <w:p w14:paraId="15B2D51D" w14:textId="17A2FAF3" w:rsidR="00F71050" w:rsidRPr="000B6B22" w:rsidRDefault="00AD7441">
            <w:pPr>
              <w:spacing w:before="0"/>
              <w:rPr>
                <w:rFonts w:ascii="Times New Roman" w:eastAsia="PMingLiU" w:hAnsi="Times New Roman"/>
                <w:sz w:val="24"/>
              </w:rPr>
            </w:pPr>
            <w:r>
              <w:rPr>
                <w:rFonts w:ascii="Times New Roman" w:hAnsi="Times New Roman"/>
                <w:sz w:val="24"/>
              </w:rPr>
              <w:t>1900</w:t>
            </w:r>
          </w:p>
        </w:tc>
        <w:tc>
          <w:tcPr>
            <w:tcW w:w="7371" w:type="dxa"/>
            <w:shd w:val="clear" w:color="auto" w:fill="FFFFFF"/>
          </w:tcPr>
          <w:p w14:paraId="08A66A2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2.4.1. Στοιχεία ενεργητικού επιπέδου 1 (εξαιρουμένων των ΕΥΠ καλυμμένων ομολόγων)</w:t>
            </w:r>
          </w:p>
          <w:p w14:paraId="04C4A363" w14:textId="4BFBF92C"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sz w:val="24"/>
              </w:rPr>
              <w:t>Συναλλαγές κατά τις οποίες το ίδρυμα έχει ανταλλάξει τίτλους από τιτλοποίηση επιπέδου 2Β (στεγαστικά δάνεια ή δάνεια αγοράς αυτοκινήτου, ΒΠΠ1) (που παρέχονται ως δάνειο) με στοιχεία ενεργητικού επιπέδου 1 εξαιρουμένων των ΕΥΠ καλυμμένων ομολόγων (που λαμβάνονται ως δάνειο).</w:t>
            </w:r>
          </w:p>
        </w:tc>
      </w:tr>
      <w:tr w:rsidR="00B47B7D" w:rsidRPr="000B6B22" w14:paraId="72EB068F" w14:textId="77777777" w:rsidTr="0039321F">
        <w:tc>
          <w:tcPr>
            <w:tcW w:w="703" w:type="dxa"/>
            <w:shd w:val="clear" w:color="auto" w:fill="FFFFFF"/>
            <w:vAlign w:val="center"/>
          </w:tcPr>
          <w:p w14:paraId="14126B00" w14:textId="6281FB71" w:rsidR="00F71050" w:rsidRPr="000B6B22" w:rsidRDefault="00AD7441">
            <w:pPr>
              <w:spacing w:before="0"/>
              <w:rPr>
                <w:rFonts w:ascii="Times New Roman" w:eastAsia="PMingLiU" w:hAnsi="Times New Roman"/>
                <w:sz w:val="24"/>
              </w:rPr>
            </w:pPr>
            <w:r>
              <w:rPr>
                <w:rFonts w:ascii="Times New Roman" w:hAnsi="Times New Roman"/>
                <w:sz w:val="24"/>
              </w:rPr>
              <w:t>1910</w:t>
            </w:r>
          </w:p>
        </w:tc>
        <w:tc>
          <w:tcPr>
            <w:tcW w:w="7371" w:type="dxa"/>
            <w:shd w:val="clear" w:color="auto" w:fill="FFFFFF"/>
          </w:tcPr>
          <w:p w14:paraId="219F903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2.4.1.1. Των οποίων οι εξασφαλίσεις που ανταλλάσσονται πληρούν τις λειτουργικές απαιτήσεις</w:t>
            </w:r>
          </w:p>
          <w:p w14:paraId="4A0837F1" w14:textId="2B60476F" w:rsidR="00F71050" w:rsidRPr="000B6B22" w:rsidRDefault="00F71050" w:rsidP="009D4EFF">
            <w:pPr>
              <w:spacing w:before="0"/>
              <w:ind w:left="-84"/>
              <w:rPr>
                <w:rFonts w:ascii="Times New Roman" w:hAnsi="Times New Roman"/>
                <w:sz w:val="24"/>
              </w:rPr>
            </w:pPr>
            <w:r>
              <w:rPr>
                <w:rFonts w:ascii="Times New Roman" w:hAnsi="Times New Roman"/>
                <w:sz w:val="24"/>
              </w:rPr>
              <w:lastRenderedPageBreak/>
              <w:t>Από τις συναλλαγές που αναφέρονται στο σημείο 2.4.1. τα πιστωτικά ιδρύματα αναφέρουν:</w:t>
            </w:r>
          </w:p>
          <w:p w14:paraId="3C501CF8" w14:textId="1C92F344"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αποτέλεσε αντικείμενο δανειοδοσίας το οποίο,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4E03629D" w14:textId="4C8B28D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34E52ED3" w14:textId="77777777" w:rsidTr="0039321F">
        <w:tc>
          <w:tcPr>
            <w:tcW w:w="703" w:type="dxa"/>
            <w:shd w:val="clear" w:color="auto" w:fill="FFFFFF"/>
            <w:vAlign w:val="center"/>
          </w:tcPr>
          <w:p w14:paraId="3D67A0DF" w14:textId="2F97FC9D" w:rsidR="00F71050" w:rsidRPr="000B6B22" w:rsidRDefault="00AD7441">
            <w:pPr>
              <w:spacing w:before="0"/>
              <w:rPr>
                <w:rFonts w:ascii="Times New Roman" w:eastAsia="PMingLiU" w:hAnsi="Times New Roman"/>
                <w:sz w:val="24"/>
              </w:rPr>
            </w:pPr>
            <w:r>
              <w:rPr>
                <w:rFonts w:ascii="Times New Roman" w:hAnsi="Times New Roman"/>
                <w:sz w:val="24"/>
              </w:rPr>
              <w:lastRenderedPageBreak/>
              <w:t>1920</w:t>
            </w:r>
          </w:p>
        </w:tc>
        <w:tc>
          <w:tcPr>
            <w:tcW w:w="7371" w:type="dxa"/>
            <w:shd w:val="clear" w:color="auto" w:fill="FFFFFF"/>
          </w:tcPr>
          <w:p w14:paraId="71E9C158" w14:textId="11AB3965"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2.4.2. Επιπέδου 1 εξαιρετικά υψηλής ποιότητας καλυμμένα ομόλογα</w:t>
            </w:r>
          </w:p>
          <w:p w14:paraId="5A4C1C43" w14:textId="674D4D3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τίτλους από τιτλοποίηση επιπέδου 2Β (στεγαστικά δάνεια ή δάνεια αγοράς αυτοκινήτου, ΒΠΠ1) (που παρέχονται ως δάνειο) με επιπέδου 1 εξαιρετικά υψηλής ποιότητας καλυμμένα ομόλογα (που λαμβάνονται ως δάνειο).</w:t>
            </w:r>
          </w:p>
        </w:tc>
      </w:tr>
      <w:tr w:rsidR="00B47B7D" w:rsidRPr="000B6B22" w14:paraId="21ECA296" w14:textId="77777777" w:rsidTr="0039321F">
        <w:tc>
          <w:tcPr>
            <w:tcW w:w="703" w:type="dxa"/>
            <w:shd w:val="clear" w:color="auto" w:fill="FFFFFF"/>
            <w:vAlign w:val="center"/>
          </w:tcPr>
          <w:p w14:paraId="5742317D" w14:textId="74C2CF59" w:rsidR="00F71050" w:rsidRPr="000B6B22" w:rsidRDefault="00AD7441">
            <w:pPr>
              <w:spacing w:before="0"/>
              <w:rPr>
                <w:rFonts w:ascii="Times New Roman" w:eastAsia="PMingLiU" w:hAnsi="Times New Roman"/>
                <w:sz w:val="24"/>
              </w:rPr>
            </w:pPr>
            <w:r>
              <w:rPr>
                <w:rFonts w:ascii="Times New Roman" w:hAnsi="Times New Roman"/>
                <w:sz w:val="24"/>
              </w:rPr>
              <w:t>1930</w:t>
            </w:r>
          </w:p>
        </w:tc>
        <w:tc>
          <w:tcPr>
            <w:tcW w:w="7371" w:type="dxa"/>
            <w:shd w:val="clear" w:color="auto" w:fill="FFFFFF"/>
          </w:tcPr>
          <w:p w14:paraId="2171644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2.4.2.1. Των οποίων οι εξασφαλίσεις που ανταλλάσσονται πληρούν τις λειτουργικές απαιτήσεις</w:t>
            </w:r>
          </w:p>
          <w:p w14:paraId="7C911C2B" w14:textId="7A6C0C44"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2.4.2. τα πιστωτικά ιδρύματα αναφέρουν:</w:t>
            </w:r>
          </w:p>
          <w:p w14:paraId="41C6D899" w14:textId="1B97FCE4"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αποτέλεσε αντικείμενο δανειοδοσίας το οποίο,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638289C8" w14:textId="30CD7C5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47FF1AA8" w14:textId="77777777" w:rsidTr="0039321F">
        <w:tc>
          <w:tcPr>
            <w:tcW w:w="703" w:type="dxa"/>
            <w:shd w:val="clear" w:color="auto" w:fill="FFFFFF"/>
            <w:vAlign w:val="center"/>
          </w:tcPr>
          <w:p w14:paraId="0E2621AC" w14:textId="70999200" w:rsidR="00F71050" w:rsidRPr="000B6B22" w:rsidRDefault="00AD7441">
            <w:pPr>
              <w:spacing w:before="0"/>
              <w:rPr>
                <w:rFonts w:ascii="Times New Roman" w:eastAsia="PMingLiU" w:hAnsi="Times New Roman"/>
                <w:sz w:val="24"/>
              </w:rPr>
            </w:pPr>
            <w:r>
              <w:rPr>
                <w:rFonts w:ascii="Times New Roman" w:hAnsi="Times New Roman"/>
                <w:sz w:val="24"/>
              </w:rPr>
              <w:t>1940</w:t>
            </w:r>
          </w:p>
        </w:tc>
        <w:tc>
          <w:tcPr>
            <w:tcW w:w="7371" w:type="dxa"/>
            <w:shd w:val="clear" w:color="auto" w:fill="FFFFFF"/>
          </w:tcPr>
          <w:p w14:paraId="0FF2C718" w14:textId="5628C4D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2.4.3. Στοιχεία ενεργητικού επιπέδου 2Α</w:t>
            </w:r>
          </w:p>
          <w:p w14:paraId="171627BC" w14:textId="265EBFF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τίτλους από τιτλοποίηση επιπέδου 2Β (στεγαστικά δάνεια ή δάνεια αγοράς αυτοκινήτου, ΒΠΠ1) (που παρέχονται ως δάνειο) με στοιχεία ενεργητικού επιπέδου 2Α (που λαμβάνονται ως δάνειο).</w:t>
            </w:r>
          </w:p>
        </w:tc>
      </w:tr>
      <w:tr w:rsidR="00B47B7D" w:rsidRPr="000B6B22" w14:paraId="618E5D59" w14:textId="77777777" w:rsidTr="0039321F">
        <w:tc>
          <w:tcPr>
            <w:tcW w:w="703" w:type="dxa"/>
            <w:shd w:val="clear" w:color="auto" w:fill="FFFFFF"/>
            <w:vAlign w:val="center"/>
          </w:tcPr>
          <w:p w14:paraId="20AE8430" w14:textId="4E82EFD4" w:rsidR="00F71050" w:rsidRPr="000B6B22" w:rsidRDefault="00AD7441">
            <w:pPr>
              <w:spacing w:before="0"/>
              <w:rPr>
                <w:rFonts w:ascii="Times New Roman" w:eastAsia="PMingLiU" w:hAnsi="Times New Roman"/>
                <w:sz w:val="24"/>
              </w:rPr>
            </w:pPr>
            <w:r>
              <w:rPr>
                <w:rFonts w:ascii="Times New Roman" w:hAnsi="Times New Roman"/>
                <w:sz w:val="24"/>
              </w:rPr>
              <w:t>1950</w:t>
            </w:r>
          </w:p>
        </w:tc>
        <w:tc>
          <w:tcPr>
            <w:tcW w:w="7371" w:type="dxa"/>
            <w:shd w:val="clear" w:color="auto" w:fill="FFFFFF"/>
          </w:tcPr>
          <w:p w14:paraId="6211E127"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2.4.3.1. Των οποίων οι εξασφαλίσεις που ανταλλάσσονται πληρούν τις λειτουργικές απαιτήσεις</w:t>
            </w:r>
          </w:p>
          <w:p w14:paraId="5DA5BE79" w14:textId="1BF83A62"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2.4.3. τα πιστωτικά ιδρύματα αναφέρουν:</w:t>
            </w:r>
          </w:p>
          <w:p w14:paraId="382A5D59" w14:textId="1CE4838A"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παρέχεται ως δάνειο το οποίο,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17137C25" w14:textId="059718F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222BC2FA" w14:textId="77777777" w:rsidTr="0039321F">
        <w:tc>
          <w:tcPr>
            <w:tcW w:w="703" w:type="dxa"/>
            <w:shd w:val="clear" w:color="auto" w:fill="FFFFFF"/>
            <w:vAlign w:val="center"/>
          </w:tcPr>
          <w:p w14:paraId="2DA00B3B" w14:textId="10376C2A" w:rsidR="00F71050" w:rsidRPr="000B6B22" w:rsidRDefault="00AD7441">
            <w:pPr>
              <w:spacing w:before="0"/>
              <w:rPr>
                <w:rFonts w:ascii="Times New Roman" w:eastAsia="PMingLiU" w:hAnsi="Times New Roman"/>
                <w:sz w:val="24"/>
              </w:rPr>
            </w:pPr>
            <w:r>
              <w:rPr>
                <w:rFonts w:ascii="Times New Roman" w:hAnsi="Times New Roman"/>
                <w:sz w:val="24"/>
              </w:rPr>
              <w:t>1960</w:t>
            </w:r>
          </w:p>
        </w:tc>
        <w:tc>
          <w:tcPr>
            <w:tcW w:w="7371" w:type="dxa"/>
            <w:shd w:val="clear" w:color="auto" w:fill="FFFFFF"/>
          </w:tcPr>
          <w:p w14:paraId="57825C12" w14:textId="10A6127A"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2.4.4. Επιπέδου 2Β τίτλοι από τιτλοποίηση (στεγαστικά δάνεια ή δάνεια για αγορά αυτοκινήτου, ΒΠΠ1)</w:t>
            </w:r>
          </w:p>
          <w:p w14:paraId="561FEF4A" w14:textId="2DB54E3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Συναλλαγές κατά τις οποίες το ίδρυμα έχει ανταλλάξει τίτλους από τιτλοποίηση επιπέδου 2Β (στεγαστικά δάνεια ή δάνεια αγοράς αυτοκινήτου, ΒΠΠ1) (που παρέχονται ως δάνειο) με τίτλους από τιτλοποίηση επιπέδου 2Β (στεγαστικά δάνεια ή δάνεια αγοράς αυτοκινήτου, ΒΠΠ1) (που λαμβάνονται ως δάνειο).</w:t>
            </w:r>
          </w:p>
        </w:tc>
      </w:tr>
      <w:tr w:rsidR="00B47B7D" w:rsidRPr="000B6B22" w14:paraId="5835B2A7" w14:textId="77777777" w:rsidTr="0039321F">
        <w:tc>
          <w:tcPr>
            <w:tcW w:w="703" w:type="dxa"/>
            <w:shd w:val="clear" w:color="auto" w:fill="FFFFFF"/>
            <w:vAlign w:val="center"/>
          </w:tcPr>
          <w:p w14:paraId="03E3A32D" w14:textId="393D3A0F" w:rsidR="00F71050" w:rsidRPr="000B6B22" w:rsidRDefault="00AD7441">
            <w:pPr>
              <w:spacing w:before="0"/>
              <w:rPr>
                <w:rFonts w:ascii="Times New Roman" w:eastAsia="PMingLiU" w:hAnsi="Times New Roman"/>
                <w:sz w:val="24"/>
              </w:rPr>
            </w:pPr>
            <w:r>
              <w:rPr>
                <w:rFonts w:ascii="Times New Roman" w:hAnsi="Times New Roman"/>
                <w:sz w:val="24"/>
              </w:rPr>
              <w:lastRenderedPageBreak/>
              <w:t>1970</w:t>
            </w:r>
          </w:p>
        </w:tc>
        <w:tc>
          <w:tcPr>
            <w:tcW w:w="7371" w:type="dxa"/>
            <w:shd w:val="clear" w:color="auto" w:fill="FFFFFF"/>
          </w:tcPr>
          <w:p w14:paraId="4EF7AB3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2.4.4.1. Των οποίων οι εξασφαλίσεις που ανταλλάσσονται πληρούν τις λειτουργικές απαιτήσεις</w:t>
            </w:r>
          </w:p>
          <w:p w14:paraId="505B6636" w14:textId="1F877977"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2.4.4. τα πιστωτικά ιδρύματα αναφέρουν:</w:t>
            </w:r>
          </w:p>
          <w:p w14:paraId="37D0915A" w14:textId="2B4B9503"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παρέχεται ως δάνειο το οποίο,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57CFC141" w14:textId="0DA0523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1201E3DF" w14:textId="77777777" w:rsidTr="0039321F">
        <w:tc>
          <w:tcPr>
            <w:tcW w:w="703" w:type="dxa"/>
            <w:shd w:val="clear" w:color="auto" w:fill="FFFFFF"/>
            <w:vAlign w:val="center"/>
          </w:tcPr>
          <w:p w14:paraId="1F139AEB" w14:textId="7CE93121" w:rsidR="00F71050" w:rsidRPr="000B6B22" w:rsidRDefault="00AD7441">
            <w:pPr>
              <w:spacing w:before="0"/>
              <w:rPr>
                <w:rFonts w:ascii="Times New Roman" w:eastAsia="PMingLiU" w:hAnsi="Times New Roman"/>
                <w:sz w:val="24"/>
              </w:rPr>
            </w:pPr>
            <w:r>
              <w:rPr>
                <w:rFonts w:ascii="Times New Roman" w:hAnsi="Times New Roman"/>
                <w:sz w:val="24"/>
              </w:rPr>
              <w:t>1980</w:t>
            </w:r>
          </w:p>
        </w:tc>
        <w:tc>
          <w:tcPr>
            <w:tcW w:w="7371" w:type="dxa"/>
            <w:shd w:val="clear" w:color="auto" w:fill="FFFFFF"/>
          </w:tcPr>
          <w:p w14:paraId="60A8DCFF" w14:textId="5A7E84FB"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2.4.5. Επιπέδου 2Β υψηλής ποιότητας καλυμμένα ομόλογα</w:t>
            </w:r>
          </w:p>
          <w:p w14:paraId="48DAEEA4" w14:textId="6F0F663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τίτλους από τιτλοποίηση επιπέδου 2Β (στεγαστικά δάνεια ή δάνεια αγοράς αυτοκινήτου, ΒΠΠ1) (που παρέχονται ως δάνειο) με υψηλής ποιότητας καλυμμένα ομόλογα επιπέδου 2Β (που λαμβάνονται ως δάνειο).</w:t>
            </w:r>
          </w:p>
        </w:tc>
      </w:tr>
      <w:tr w:rsidR="00B47B7D" w:rsidRPr="000B6B22" w14:paraId="4513E5AF" w14:textId="77777777" w:rsidTr="0039321F">
        <w:tc>
          <w:tcPr>
            <w:tcW w:w="703" w:type="dxa"/>
            <w:shd w:val="clear" w:color="auto" w:fill="FFFFFF"/>
            <w:vAlign w:val="center"/>
          </w:tcPr>
          <w:p w14:paraId="6D8F90C4" w14:textId="190EBD78" w:rsidR="00F71050" w:rsidRPr="000B6B22" w:rsidRDefault="00AD7441">
            <w:pPr>
              <w:spacing w:before="0"/>
              <w:rPr>
                <w:rFonts w:ascii="Times New Roman" w:eastAsia="PMingLiU" w:hAnsi="Times New Roman"/>
                <w:sz w:val="24"/>
              </w:rPr>
            </w:pPr>
            <w:r>
              <w:rPr>
                <w:rFonts w:ascii="Times New Roman" w:hAnsi="Times New Roman"/>
                <w:sz w:val="24"/>
              </w:rPr>
              <w:t>1990</w:t>
            </w:r>
          </w:p>
        </w:tc>
        <w:tc>
          <w:tcPr>
            <w:tcW w:w="7371" w:type="dxa"/>
            <w:shd w:val="clear" w:color="auto" w:fill="FFFFFF"/>
          </w:tcPr>
          <w:p w14:paraId="37B1963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2.4.5.1. Των οποίων οι εξασφαλίσεις που ανταλλάσσονται πληρούν τις λειτουργικές απαιτήσεις</w:t>
            </w:r>
          </w:p>
          <w:p w14:paraId="6906F223" w14:textId="223664AD"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2.4.5. τα πιστωτικά ιδρύματα αναφέρουν:</w:t>
            </w:r>
          </w:p>
          <w:p w14:paraId="0AC4BF18" w14:textId="3CD1897A"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παρέχεται ως δάνειο το οποίο,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132672EF" w14:textId="4D93CF0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7C128C00" w14:textId="77777777" w:rsidTr="0039321F">
        <w:tc>
          <w:tcPr>
            <w:tcW w:w="703" w:type="dxa"/>
            <w:shd w:val="clear" w:color="auto" w:fill="FFFFFF"/>
            <w:vAlign w:val="center"/>
          </w:tcPr>
          <w:p w14:paraId="275F4085" w14:textId="65876F72" w:rsidR="00F71050" w:rsidRPr="000B6B22" w:rsidRDefault="00AD7441">
            <w:pPr>
              <w:spacing w:before="0"/>
              <w:rPr>
                <w:rFonts w:ascii="Times New Roman" w:eastAsia="PMingLiU" w:hAnsi="Times New Roman"/>
                <w:sz w:val="24"/>
              </w:rPr>
            </w:pPr>
            <w:r>
              <w:rPr>
                <w:rFonts w:ascii="Times New Roman" w:hAnsi="Times New Roman"/>
                <w:sz w:val="24"/>
              </w:rPr>
              <w:t>2000</w:t>
            </w:r>
          </w:p>
        </w:tc>
        <w:tc>
          <w:tcPr>
            <w:tcW w:w="7371" w:type="dxa"/>
            <w:shd w:val="clear" w:color="auto" w:fill="FFFFFF"/>
          </w:tcPr>
          <w:p w14:paraId="4BEC03C9" w14:textId="3A7A4B36"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2.4.6. Επιπέδου 2Β τίτλοι από τιτλοποίηση (εμπορικά δάνεια ή δάνεια σε ιδιώτες, κράτος μέλος, ΒΠΠ1)</w:t>
            </w:r>
          </w:p>
          <w:p w14:paraId="7336100C" w14:textId="3376E61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τίτλους από τιτλοποίηση επιπέδου 2Β (στεγαστικά δάνεια ή δάνεια αγοράς αυτοκινήτου, ΒΠΠ1) (που παρέχονται ως δάνειο) με τίτλους από τιτλοποίηση επιπέδου 2Β (εμπορικά δάνεια ή δάνεια σε ιδιώτες, κράτος μέλος, ΒΠΠ1) (που λαμβάνονται ως δάνειο).</w:t>
            </w:r>
          </w:p>
        </w:tc>
      </w:tr>
      <w:tr w:rsidR="00B47B7D" w:rsidRPr="000B6B22" w14:paraId="2AD35E96" w14:textId="77777777" w:rsidTr="0039321F">
        <w:tc>
          <w:tcPr>
            <w:tcW w:w="703" w:type="dxa"/>
            <w:shd w:val="clear" w:color="auto" w:fill="FFFFFF"/>
            <w:vAlign w:val="center"/>
          </w:tcPr>
          <w:p w14:paraId="6E91CEB6" w14:textId="17CB53DD" w:rsidR="00F71050" w:rsidRPr="000B6B22" w:rsidRDefault="00AD7441">
            <w:pPr>
              <w:spacing w:before="0"/>
              <w:rPr>
                <w:rFonts w:ascii="Times New Roman" w:eastAsia="PMingLiU" w:hAnsi="Times New Roman"/>
                <w:sz w:val="24"/>
              </w:rPr>
            </w:pPr>
            <w:r>
              <w:rPr>
                <w:rFonts w:ascii="Times New Roman" w:hAnsi="Times New Roman"/>
                <w:sz w:val="24"/>
              </w:rPr>
              <w:t>2010</w:t>
            </w:r>
          </w:p>
        </w:tc>
        <w:tc>
          <w:tcPr>
            <w:tcW w:w="7371" w:type="dxa"/>
            <w:shd w:val="clear" w:color="auto" w:fill="FFFFFF"/>
          </w:tcPr>
          <w:p w14:paraId="6AB41FE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2.4.6.1. Των οποίων οι εξασφαλίσεις που ανταλλάσσονται πληρούν τις λειτουργικές απαιτήσεις</w:t>
            </w:r>
          </w:p>
          <w:p w14:paraId="5DFD4CD3" w14:textId="7366A15A"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2.4.6. τα πιστωτικά ιδρύματα αναφέρουν:</w:t>
            </w:r>
          </w:p>
          <w:p w14:paraId="1672A7AC" w14:textId="4348F597"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το σκέλος της εξασφάλισης που παρέχεται ως δάνειο το οποίο,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0BC54ACD" w14:textId="610275B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45958B0C" w14:textId="77777777" w:rsidTr="0039321F">
        <w:tc>
          <w:tcPr>
            <w:tcW w:w="703" w:type="dxa"/>
            <w:shd w:val="clear" w:color="auto" w:fill="FFFFFF"/>
            <w:vAlign w:val="center"/>
          </w:tcPr>
          <w:p w14:paraId="09E0583E" w14:textId="6E5D0AE4" w:rsidR="00F71050" w:rsidRPr="000B6B22" w:rsidRDefault="00AD7441">
            <w:pPr>
              <w:spacing w:before="0"/>
              <w:rPr>
                <w:rFonts w:ascii="Times New Roman" w:eastAsia="PMingLiU" w:hAnsi="Times New Roman"/>
                <w:sz w:val="24"/>
              </w:rPr>
            </w:pPr>
            <w:r>
              <w:rPr>
                <w:rFonts w:ascii="Times New Roman" w:hAnsi="Times New Roman"/>
                <w:sz w:val="24"/>
              </w:rPr>
              <w:lastRenderedPageBreak/>
              <w:t>2020</w:t>
            </w:r>
          </w:p>
        </w:tc>
        <w:tc>
          <w:tcPr>
            <w:tcW w:w="7371" w:type="dxa"/>
            <w:shd w:val="clear" w:color="auto" w:fill="FFFFFF"/>
          </w:tcPr>
          <w:p w14:paraId="40AA265C" w14:textId="366A37AF"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2.4.7. Άλλα στοιχεία επιπέδου 2Β</w:t>
            </w:r>
          </w:p>
          <w:p w14:paraId="271757F1" w14:textId="6FB9A5D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τίτλους από τιτλοποίηση επιπέδου 2Β (στεγαστικά δάνεια ή δάνεια αγοράς αυτοκινήτου, ΒΠΠ1) (που παρέχονται ως δάνειο) με άλλα στοιχεία ενεργητικού επιπέδου 2Β (που λαμβάνονται ως δάνειο)</w:t>
            </w:r>
          </w:p>
        </w:tc>
      </w:tr>
      <w:tr w:rsidR="00B47B7D" w:rsidRPr="000B6B22" w14:paraId="46A92F40" w14:textId="77777777" w:rsidTr="0039321F">
        <w:tc>
          <w:tcPr>
            <w:tcW w:w="703" w:type="dxa"/>
            <w:shd w:val="clear" w:color="auto" w:fill="FFFFFF"/>
            <w:vAlign w:val="center"/>
          </w:tcPr>
          <w:p w14:paraId="150424AD" w14:textId="0277C338" w:rsidR="00F71050" w:rsidRPr="000B6B22" w:rsidRDefault="00AD7441">
            <w:pPr>
              <w:spacing w:before="0"/>
              <w:rPr>
                <w:rFonts w:ascii="Times New Roman" w:eastAsia="PMingLiU" w:hAnsi="Times New Roman"/>
                <w:sz w:val="24"/>
              </w:rPr>
            </w:pPr>
            <w:r>
              <w:rPr>
                <w:rFonts w:ascii="Times New Roman" w:hAnsi="Times New Roman"/>
                <w:sz w:val="24"/>
              </w:rPr>
              <w:t>2030</w:t>
            </w:r>
          </w:p>
        </w:tc>
        <w:tc>
          <w:tcPr>
            <w:tcW w:w="7371" w:type="dxa"/>
            <w:shd w:val="clear" w:color="auto" w:fill="FFFFFF"/>
          </w:tcPr>
          <w:p w14:paraId="5AFFC81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2.4.7.1. Των οποίων οι εξασφαλίσεις που ανταλλάσσονται πληρούν τις λειτουργικές απαιτήσεις</w:t>
            </w:r>
          </w:p>
          <w:p w14:paraId="4D284EC0" w14:textId="401C9B80"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2.4.7. τα πιστωτικά ιδρύματα αναφέρουν:</w:t>
            </w:r>
          </w:p>
          <w:p w14:paraId="3161D925" w14:textId="2486485B"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παρέχεται ως δάνειο το οποίο,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1639E8EB" w14:textId="4E92902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4E824806" w14:textId="77777777" w:rsidTr="0039321F">
        <w:tc>
          <w:tcPr>
            <w:tcW w:w="703" w:type="dxa"/>
            <w:shd w:val="clear" w:color="auto" w:fill="FFFFFF"/>
            <w:vAlign w:val="center"/>
          </w:tcPr>
          <w:p w14:paraId="638686B6" w14:textId="4788EE85" w:rsidR="00AD7441" w:rsidRPr="000B6B22" w:rsidRDefault="00AD7441">
            <w:pPr>
              <w:spacing w:before="0"/>
              <w:rPr>
                <w:rFonts w:ascii="Times New Roman" w:eastAsia="PMingLiU" w:hAnsi="Times New Roman"/>
                <w:sz w:val="24"/>
              </w:rPr>
            </w:pPr>
            <w:r>
              <w:rPr>
                <w:rFonts w:ascii="Times New Roman" w:hAnsi="Times New Roman"/>
                <w:sz w:val="24"/>
              </w:rPr>
              <w:t>2040</w:t>
            </w:r>
          </w:p>
        </w:tc>
        <w:tc>
          <w:tcPr>
            <w:tcW w:w="7371" w:type="dxa"/>
            <w:shd w:val="clear" w:color="auto" w:fill="FFFFFF"/>
          </w:tcPr>
          <w:p w14:paraId="3AEAD380"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2.4.8. Μη ρευστά στοιχεία ενεργητικού</w:t>
            </w:r>
          </w:p>
          <w:p w14:paraId="1EA8D864" w14:textId="7E1F3FB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τίτλους από τιτλοποίηση επιπέδου 2Β (στεγαστικά δάνεια ή δάνεια αγοράς αυτοκινήτου, ΒΠΠ1) (που παρέχονται ως δάνειο) με μη ρευστά στοιχεία ενεργητικού (που λαμβάνονται ως δάνειο)</w:t>
            </w:r>
          </w:p>
        </w:tc>
      </w:tr>
      <w:tr w:rsidR="00B47B7D" w:rsidRPr="000B6B22" w14:paraId="2D0D5DFC" w14:textId="77777777" w:rsidTr="0039321F">
        <w:tc>
          <w:tcPr>
            <w:tcW w:w="703" w:type="dxa"/>
            <w:shd w:val="clear" w:color="auto" w:fill="auto"/>
            <w:vAlign w:val="center"/>
          </w:tcPr>
          <w:p w14:paraId="7711E3E5" w14:textId="6B33407A" w:rsidR="00F71050" w:rsidRPr="000B6B22" w:rsidRDefault="00AD7441">
            <w:pPr>
              <w:spacing w:before="0"/>
              <w:rPr>
                <w:rFonts w:ascii="Times New Roman" w:eastAsia="PMingLiU" w:hAnsi="Times New Roman"/>
                <w:sz w:val="24"/>
              </w:rPr>
            </w:pPr>
            <w:r>
              <w:rPr>
                <w:rFonts w:ascii="Times New Roman" w:hAnsi="Times New Roman"/>
                <w:sz w:val="24"/>
              </w:rPr>
              <w:t>2050</w:t>
            </w:r>
          </w:p>
        </w:tc>
        <w:tc>
          <w:tcPr>
            <w:tcW w:w="7371" w:type="dxa"/>
            <w:shd w:val="clear" w:color="auto" w:fill="auto"/>
          </w:tcPr>
          <w:p w14:paraId="0460C09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2.4.8.1. Των οποίων οι εξασφαλίσεις που ανταλλάσσονται πληρούν τις λειτουργικές απαιτήσεις</w:t>
            </w:r>
          </w:p>
          <w:p w14:paraId="0724E261" w14:textId="0FDD5BEE"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Από τις συναλλαγές που αναφέρονται στο σημείο 2.4.8., τα πιστωτικά ιδρύματα αναφέρουν το σκέλος της εξασφάλισης που παρέχεται ως δάνειο το οποίο,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w:t>
            </w:r>
          </w:p>
        </w:tc>
      </w:tr>
      <w:tr w:rsidR="00B47B7D" w:rsidRPr="000B6B22" w14:paraId="25CFEE33" w14:textId="77777777" w:rsidTr="0039321F">
        <w:tc>
          <w:tcPr>
            <w:tcW w:w="703" w:type="dxa"/>
            <w:shd w:val="clear" w:color="auto" w:fill="auto"/>
            <w:vAlign w:val="center"/>
          </w:tcPr>
          <w:p w14:paraId="74DB4F9B" w14:textId="283D8933" w:rsidR="00F71050" w:rsidRPr="000B6B22" w:rsidRDefault="00AD7441">
            <w:pPr>
              <w:spacing w:before="0"/>
              <w:rPr>
                <w:rFonts w:ascii="Times New Roman" w:eastAsia="PMingLiU" w:hAnsi="Times New Roman"/>
                <w:sz w:val="24"/>
              </w:rPr>
            </w:pPr>
            <w:r>
              <w:rPr>
                <w:rFonts w:ascii="Times New Roman" w:hAnsi="Times New Roman"/>
                <w:sz w:val="24"/>
              </w:rPr>
              <w:t>2060</w:t>
            </w:r>
          </w:p>
        </w:tc>
        <w:tc>
          <w:tcPr>
            <w:tcW w:w="7371" w:type="dxa"/>
            <w:shd w:val="clear" w:color="auto" w:fill="auto"/>
          </w:tcPr>
          <w:p w14:paraId="1C89DCF4"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2.5. Σύνολα για συναλλαγές κατά τις οποίες: τα υψηλής ποιότητας καλυμμένα ομόλογα επιπέδου 2Β παρέχονται ως δάνειο και οι ακόλουθες εξασφαλίσεις λαμβάνονται ως δάνειο:</w:t>
            </w:r>
          </w:p>
          <w:p w14:paraId="1111CE48" w14:textId="6FE800B8"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Άρθρο 28 παράγραφος 4 και άρθρο 32 παράγραφος 3 του κατ’ εξουσιοδότηση κανονισμού (ΕΕ) 2015/61</w:t>
            </w:r>
          </w:p>
          <w:p w14:paraId="2F09CB7B" w14:textId="2130E2DA"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Τα πιστωτικά ιδρύματα αναφέρουν εδώ, για τις σχετικές στήλες, τις συνολικές αξίες των πράξεων ανταλλαγής εξασφαλίσεων για συναλλαγές κατά τις οποίες υψηλής ποιότητας καλυμμένα ομόλογα επιπέδου 2Β παρέχονται ως δάνειο.</w:t>
            </w:r>
          </w:p>
        </w:tc>
      </w:tr>
      <w:tr w:rsidR="00B47B7D" w:rsidRPr="000B6B22" w14:paraId="3088FDAF" w14:textId="77777777" w:rsidTr="0039321F">
        <w:tc>
          <w:tcPr>
            <w:tcW w:w="703" w:type="dxa"/>
            <w:shd w:val="clear" w:color="auto" w:fill="FFFFFF"/>
            <w:vAlign w:val="center"/>
          </w:tcPr>
          <w:p w14:paraId="34F1DD11" w14:textId="5BC52D30" w:rsidR="00F71050" w:rsidRPr="000B6B22" w:rsidRDefault="00AD7441">
            <w:pPr>
              <w:spacing w:before="0"/>
              <w:rPr>
                <w:rFonts w:ascii="Times New Roman" w:eastAsia="PMingLiU" w:hAnsi="Times New Roman"/>
                <w:sz w:val="24"/>
              </w:rPr>
            </w:pPr>
            <w:r>
              <w:rPr>
                <w:rFonts w:ascii="Times New Roman" w:hAnsi="Times New Roman"/>
                <w:sz w:val="24"/>
              </w:rPr>
              <w:lastRenderedPageBreak/>
              <w:t>2070</w:t>
            </w:r>
          </w:p>
        </w:tc>
        <w:tc>
          <w:tcPr>
            <w:tcW w:w="7371" w:type="dxa"/>
            <w:shd w:val="clear" w:color="auto" w:fill="FFFFFF"/>
          </w:tcPr>
          <w:p w14:paraId="3DBA940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2.5.1. Στοιχεία ενεργητικού επιπέδου 1 (εξαιρουμένων των ΕΥΠ καλυμμένων ομολόγων)</w:t>
            </w:r>
          </w:p>
          <w:p w14:paraId="35950260" w14:textId="7FDBD61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υψηλής ποιότητας καλυμμένα ομόλογα επιπέδου 2Β (που παρέχονται ως δάνειο) με στοιχεία ενεργητικού επιπέδου 1 εξαιρουμένων των ΕΥΠ καλυμμένων ομολόγων (που λαμβάνονται ως δάνειο).</w:t>
            </w:r>
          </w:p>
        </w:tc>
      </w:tr>
      <w:tr w:rsidR="00B47B7D" w:rsidRPr="000B6B22" w14:paraId="524F8677" w14:textId="77777777" w:rsidTr="0039321F">
        <w:tc>
          <w:tcPr>
            <w:tcW w:w="703" w:type="dxa"/>
            <w:shd w:val="clear" w:color="auto" w:fill="FFFFFF"/>
            <w:vAlign w:val="center"/>
          </w:tcPr>
          <w:p w14:paraId="1278F021" w14:textId="3663651A" w:rsidR="00F71050" w:rsidRPr="000B6B22" w:rsidRDefault="00AD7441">
            <w:pPr>
              <w:spacing w:before="0"/>
              <w:rPr>
                <w:rFonts w:ascii="Times New Roman" w:eastAsia="PMingLiU" w:hAnsi="Times New Roman"/>
                <w:sz w:val="24"/>
              </w:rPr>
            </w:pPr>
            <w:r>
              <w:rPr>
                <w:rFonts w:ascii="Times New Roman" w:hAnsi="Times New Roman"/>
                <w:sz w:val="24"/>
              </w:rPr>
              <w:t>2080</w:t>
            </w:r>
          </w:p>
        </w:tc>
        <w:tc>
          <w:tcPr>
            <w:tcW w:w="7371" w:type="dxa"/>
            <w:shd w:val="clear" w:color="auto" w:fill="FFFFFF"/>
          </w:tcPr>
          <w:p w14:paraId="44A0D56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2.5.1.1. Των οποίων οι εξασφαλίσεις που ανταλλάσσονται πληρούν τις λειτουργικές απαιτήσεις</w:t>
            </w:r>
          </w:p>
          <w:p w14:paraId="55DF0EB8" w14:textId="2FB100E8"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2.5.1. τα πιστωτικά ιδρύματα αναφέρουν:</w:t>
            </w:r>
          </w:p>
          <w:p w14:paraId="0880B545" w14:textId="347C81F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παρέχεται ως δάνειο το οποίο,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1C71BC3F" w14:textId="27920D9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121AFEE5" w14:textId="77777777" w:rsidTr="0039321F">
        <w:tc>
          <w:tcPr>
            <w:tcW w:w="703" w:type="dxa"/>
            <w:shd w:val="clear" w:color="auto" w:fill="FFFFFF"/>
            <w:vAlign w:val="center"/>
          </w:tcPr>
          <w:p w14:paraId="4FE66B4E" w14:textId="1E2A680B" w:rsidR="00F71050" w:rsidRPr="000B6B22" w:rsidRDefault="00AD7441">
            <w:pPr>
              <w:spacing w:before="0"/>
              <w:rPr>
                <w:rFonts w:ascii="Times New Roman" w:eastAsia="PMingLiU" w:hAnsi="Times New Roman"/>
                <w:sz w:val="24"/>
              </w:rPr>
            </w:pPr>
            <w:r>
              <w:rPr>
                <w:rFonts w:ascii="Times New Roman" w:hAnsi="Times New Roman"/>
                <w:sz w:val="24"/>
              </w:rPr>
              <w:t>2090</w:t>
            </w:r>
          </w:p>
        </w:tc>
        <w:tc>
          <w:tcPr>
            <w:tcW w:w="7371" w:type="dxa"/>
            <w:shd w:val="clear" w:color="auto" w:fill="FFFFFF"/>
          </w:tcPr>
          <w:p w14:paraId="471A813C" w14:textId="291F0F53"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2.5.2. Επιπέδου 1 εξαιρετικά υψηλής ποιότητας καλυμμένα ομόλογα</w:t>
            </w:r>
          </w:p>
          <w:p w14:paraId="51786080" w14:textId="1CD38C4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υψηλής ποιότητας καλυμμένα ομόλογα επιπέδου 2Β (που παρέχονται ως δάνειο) με εξαιρετικά υψηλής ποιότητας καλυμμένα ομόλογα επιπέδου 1 (που λαμβάνονται ως δάνειο)</w:t>
            </w:r>
          </w:p>
        </w:tc>
      </w:tr>
      <w:tr w:rsidR="00B47B7D" w:rsidRPr="000B6B22" w14:paraId="103ED272" w14:textId="77777777" w:rsidTr="0039321F">
        <w:tc>
          <w:tcPr>
            <w:tcW w:w="703" w:type="dxa"/>
            <w:shd w:val="clear" w:color="auto" w:fill="FFFFFF"/>
            <w:vAlign w:val="center"/>
          </w:tcPr>
          <w:p w14:paraId="30B15C5A" w14:textId="5BE6406A" w:rsidR="00F71050" w:rsidRPr="000B6B22" w:rsidRDefault="00AD7441">
            <w:pPr>
              <w:spacing w:before="0"/>
              <w:rPr>
                <w:rFonts w:ascii="Times New Roman" w:eastAsia="PMingLiU" w:hAnsi="Times New Roman"/>
                <w:sz w:val="24"/>
              </w:rPr>
            </w:pPr>
            <w:r>
              <w:rPr>
                <w:rFonts w:ascii="Times New Roman" w:hAnsi="Times New Roman"/>
                <w:sz w:val="24"/>
              </w:rPr>
              <w:t>2100</w:t>
            </w:r>
          </w:p>
        </w:tc>
        <w:tc>
          <w:tcPr>
            <w:tcW w:w="7371" w:type="dxa"/>
            <w:shd w:val="clear" w:color="auto" w:fill="FFFFFF"/>
          </w:tcPr>
          <w:p w14:paraId="1F30B54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2.5.2.1. Των οποίων οι εξασφαλίσεις που ανταλλάσσονται πληρούν τις λειτουργικές απαιτήσεις</w:t>
            </w:r>
          </w:p>
          <w:p w14:paraId="05439C64" w14:textId="7AB8D6E1"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2.5.2. τα πιστωτικά ιδρύματα αναφέρουν:</w:t>
            </w:r>
          </w:p>
          <w:p w14:paraId="7FC66765" w14:textId="20186F3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παρέχεται ως δάνειο το οποίο,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44A1DA41" w14:textId="646EBBE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10A1071D" w14:textId="77777777" w:rsidTr="0039321F">
        <w:tc>
          <w:tcPr>
            <w:tcW w:w="703" w:type="dxa"/>
            <w:shd w:val="clear" w:color="auto" w:fill="FFFFFF"/>
            <w:vAlign w:val="center"/>
          </w:tcPr>
          <w:p w14:paraId="551C294B" w14:textId="2B421B38" w:rsidR="00F71050" w:rsidRPr="000B6B22" w:rsidRDefault="00AD7441">
            <w:pPr>
              <w:spacing w:before="0"/>
              <w:rPr>
                <w:rFonts w:ascii="Times New Roman" w:eastAsia="PMingLiU" w:hAnsi="Times New Roman"/>
                <w:sz w:val="24"/>
              </w:rPr>
            </w:pPr>
            <w:r>
              <w:rPr>
                <w:rFonts w:ascii="Times New Roman" w:hAnsi="Times New Roman"/>
                <w:sz w:val="24"/>
              </w:rPr>
              <w:t>2110</w:t>
            </w:r>
          </w:p>
        </w:tc>
        <w:tc>
          <w:tcPr>
            <w:tcW w:w="7371" w:type="dxa"/>
            <w:shd w:val="clear" w:color="auto" w:fill="FFFFFF"/>
          </w:tcPr>
          <w:p w14:paraId="3B2B6333" w14:textId="072CB9D0"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2.5.3. Στοιχεία ενεργητικού επιπέδου 2Α</w:t>
            </w:r>
          </w:p>
          <w:p w14:paraId="5435022B" w14:textId="2921287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υψηλής ποιότητας καλυμμένα ομόλογα επιπέδου 2Β (που παρέχονται ως δάνειο) με στοιχεία ενεργητικού επιπέδου 2Α (που λαμβάνονται ως δάνειο)</w:t>
            </w:r>
          </w:p>
        </w:tc>
      </w:tr>
      <w:tr w:rsidR="00B47B7D" w:rsidRPr="000B6B22" w14:paraId="7D5A103D" w14:textId="77777777" w:rsidTr="0039321F">
        <w:tc>
          <w:tcPr>
            <w:tcW w:w="703" w:type="dxa"/>
            <w:shd w:val="clear" w:color="auto" w:fill="FFFFFF"/>
            <w:vAlign w:val="center"/>
          </w:tcPr>
          <w:p w14:paraId="0C9A8EB3" w14:textId="221AFEB9" w:rsidR="00F71050" w:rsidRPr="000B6B22" w:rsidRDefault="00AD7441">
            <w:pPr>
              <w:spacing w:before="0"/>
              <w:rPr>
                <w:rFonts w:ascii="Times New Roman" w:eastAsia="PMingLiU" w:hAnsi="Times New Roman"/>
                <w:sz w:val="24"/>
              </w:rPr>
            </w:pPr>
            <w:r>
              <w:rPr>
                <w:rFonts w:ascii="Times New Roman" w:hAnsi="Times New Roman"/>
                <w:sz w:val="24"/>
              </w:rPr>
              <w:t>2120</w:t>
            </w:r>
          </w:p>
        </w:tc>
        <w:tc>
          <w:tcPr>
            <w:tcW w:w="7371" w:type="dxa"/>
            <w:shd w:val="clear" w:color="auto" w:fill="FFFFFF"/>
          </w:tcPr>
          <w:p w14:paraId="20610E1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2.5.3.1. Των οποίων οι εξασφαλίσεις που ανταλλάσσονται πληρούν τις λειτουργικές απαιτήσεις</w:t>
            </w:r>
          </w:p>
          <w:p w14:paraId="676E6B30" w14:textId="781972E7"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2.5.3. τα πιστωτικά ιδρύματα αναφέρουν:</w:t>
            </w:r>
          </w:p>
          <w:p w14:paraId="7C2DE664" w14:textId="035A11CA"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το σκέλος της εξασφάλισης που παρέχεται ως δάνειο το οποίο, αν δεν χρησιμοποιούνταν ως εξασφάλιση των εν λόγω συναλλαγών, θα μπορούσε </w:t>
            </w:r>
            <w:r>
              <w:rPr>
                <w:rFonts w:ascii="Times New Roman" w:hAnsi="Times New Roman"/>
                <w:sz w:val="24"/>
              </w:rPr>
              <w:lastRenderedPageBreak/>
              <w:t>να θεωρηθεί, σύμφωνα με το άρθρο 8 του κατ’ εξουσιοδότηση κανονισμού (ΕΕ) 2015/61, ως ρευστό στοιχείο ενεργητικού· και</w:t>
            </w:r>
          </w:p>
          <w:p w14:paraId="1771A1D4" w14:textId="31692E4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5C8A2C7E" w14:textId="77777777" w:rsidTr="0039321F">
        <w:tc>
          <w:tcPr>
            <w:tcW w:w="703" w:type="dxa"/>
            <w:shd w:val="clear" w:color="auto" w:fill="FFFFFF"/>
            <w:vAlign w:val="center"/>
          </w:tcPr>
          <w:p w14:paraId="032DE648" w14:textId="00AACEB6" w:rsidR="00F71050" w:rsidRPr="000B6B22" w:rsidRDefault="00AD7441">
            <w:pPr>
              <w:spacing w:before="0"/>
              <w:rPr>
                <w:rFonts w:ascii="Times New Roman" w:eastAsia="PMingLiU" w:hAnsi="Times New Roman"/>
                <w:sz w:val="24"/>
              </w:rPr>
            </w:pPr>
            <w:r>
              <w:rPr>
                <w:rFonts w:ascii="Times New Roman" w:hAnsi="Times New Roman"/>
                <w:sz w:val="24"/>
              </w:rPr>
              <w:lastRenderedPageBreak/>
              <w:t>2130</w:t>
            </w:r>
          </w:p>
        </w:tc>
        <w:tc>
          <w:tcPr>
            <w:tcW w:w="7371" w:type="dxa"/>
            <w:shd w:val="clear" w:color="auto" w:fill="FFFFFF"/>
          </w:tcPr>
          <w:p w14:paraId="69022F52" w14:textId="2B202C1C"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2.5.4. Επιπέδου 2Β τίτλοι από τιτλοποίηση (στεγαστικά δάνεια ή δάνεια για αγορά αυτοκινήτου, ΒΠΠ1)</w:t>
            </w:r>
          </w:p>
          <w:p w14:paraId="50EAD8C0" w14:textId="6885EF9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υψηλής ποιότητας καλυμμένα ομόλογα επιπέδου 2Β (που παρέχονται ως δάνειο) με τίτλους από τιτλοποίηση επιπέδου 2Β (στεγαστικά δάνεια ή δάνεια αγοράς αυτοκινήτου, ΒΠΠ1) (που λαμβάνονται ως δάνειο)</w:t>
            </w:r>
          </w:p>
        </w:tc>
      </w:tr>
      <w:tr w:rsidR="00B47B7D" w:rsidRPr="000B6B22" w14:paraId="11494D7D" w14:textId="77777777" w:rsidTr="0039321F">
        <w:tc>
          <w:tcPr>
            <w:tcW w:w="703" w:type="dxa"/>
            <w:shd w:val="clear" w:color="auto" w:fill="FFFFFF"/>
            <w:vAlign w:val="center"/>
          </w:tcPr>
          <w:p w14:paraId="3BD9C972" w14:textId="33C8C4E1" w:rsidR="00F71050" w:rsidRPr="000B6B22" w:rsidRDefault="00AD7441">
            <w:pPr>
              <w:spacing w:before="0"/>
              <w:rPr>
                <w:rFonts w:ascii="Times New Roman" w:eastAsia="PMingLiU" w:hAnsi="Times New Roman"/>
                <w:sz w:val="24"/>
              </w:rPr>
            </w:pPr>
            <w:r>
              <w:rPr>
                <w:rFonts w:ascii="Times New Roman" w:hAnsi="Times New Roman"/>
                <w:sz w:val="24"/>
              </w:rPr>
              <w:t>2140</w:t>
            </w:r>
          </w:p>
        </w:tc>
        <w:tc>
          <w:tcPr>
            <w:tcW w:w="7371" w:type="dxa"/>
            <w:shd w:val="clear" w:color="auto" w:fill="FFFFFF"/>
          </w:tcPr>
          <w:p w14:paraId="2D11F4E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2.5.4.1. Των οποίων οι εξασφαλίσεις που ανταλλάσσονται πληρούν τις λειτουργικές απαιτήσεις</w:t>
            </w:r>
          </w:p>
          <w:p w14:paraId="399B9AB2" w14:textId="7545F4A2"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2.5.4. τα πιστωτικά ιδρύματα αναφέρουν:</w:t>
            </w:r>
          </w:p>
          <w:p w14:paraId="57212B56" w14:textId="17C6D73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παρέχεται ως δάνειο το οποίο,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43D65A0C" w14:textId="423A8C2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298DBF37" w14:textId="77777777" w:rsidTr="0039321F">
        <w:tc>
          <w:tcPr>
            <w:tcW w:w="703" w:type="dxa"/>
            <w:shd w:val="clear" w:color="auto" w:fill="FFFFFF"/>
            <w:vAlign w:val="center"/>
          </w:tcPr>
          <w:p w14:paraId="442E60B1" w14:textId="3835BE63" w:rsidR="00F71050" w:rsidRPr="000B6B22" w:rsidRDefault="00AD7441">
            <w:pPr>
              <w:spacing w:before="0"/>
              <w:rPr>
                <w:rFonts w:ascii="Times New Roman" w:eastAsia="PMingLiU" w:hAnsi="Times New Roman"/>
                <w:sz w:val="24"/>
              </w:rPr>
            </w:pPr>
            <w:r>
              <w:rPr>
                <w:rFonts w:ascii="Times New Roman" w:hAnsi="Times New Roman"/>
                <w:sz w:val="24"/>
              </w:rPr>
              <w:t>2150</w:t>
            </w:r>
          </w:p>
        </w:tc>
        <w:tc>
          <w:tcPr>
            <w:tcW w:w="7371" w:type="dxa"/>
            <w:shd w:val="clear" w:color="auto" w:fill="FFFFFF"/>
          </w:tcPr>
          <w:p w14:paraId="37EBFF9A" w14:textId="5B209395"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2.5.5. Επιπέδου 2Β υψηλής ποιότητας καλυμμένα ομόλογα</w:t>
            </w:r>
          </w:p>
          <w:p w14:paraId="2F92B09A" w14:textId="752686B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υψηλής ποιότητας καλυμμένα ομόλογα επιπέδου 2Β (που παρέχονται ως δάνειο) με υψηλής ποιότητας καλυμμένα ομόλογα επιπέδου 2Β (που λαμβάνονται ως δάνειο).</w:t>
            </w:r>
          </w:p>
        </w:tc>
      </w:tr>
      <w:tr w:rsidR="00B47B7D" w:rsidRPr="000B6B22" w14:paraId="3E4175AE" w14:textId="77777777" w:rsidTr="0039321F">
        <w:tc>
          <w:tcPr>
            <w:tcW w:w="703" w:type="dxa"/>
            <w:shd w:val="clear" w:color="auto" w:fill="FFFFFF"/>
            <w:vAlign w:val="center"/>
          </w:tcPr>
          <w:p w14:paraId="3DED6E75" w14:textId="00D5A85C" w:rsidR="00F71050" w:rsidRPr="000B6B22" w:rsidRDefault="00AD7441">
            <w:pPr>
              <w:spacing w:before="0"/>
              <w:rPr>
                <w:rFonts w:ascii="Times New Roman" w:eastAsia="PMingLiU" w:hAnsi="Times New Roman"/>
                <w:sz w:val="24"/>
              </w:rPr>
            </w:pPr>
            <w:r>
              <w:rPr>
                <w:rFonts w:ascii="Times New Roman" w:hAnsi="Times New Roman"/>
                <w:sz w:val="24"/>
              </w:rPr>
              <w:t>2160</w:t>
            </w:r>
          </w:p>
        </w:tc>
        <w:tc>
          <w:tcPr>
            <w:tcW w:w="7371" w:type="dxa"/>
            <w:shd w:val="clear" w:color="auto" w:fill="FFFFFF"/>
          </w:tcPr>
          <w:p w14:paraId="58B3514C" w14:textId="334ACBA8"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2.5.5.1. Των οποίων οι εξασφαλίσεις που ανταλλάσσονται πληρούν τις λειτουργικές απαιτήσεις</w:t>
            </w:r>
          </w:p>
          <w:p w14:paraId="69354255" w14:textId="620C457F"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2.5.5. τα πιστωτικά ιδρύματα αναφέρουν:</w:t>
            </w:r>
          </w:p>
          <w:p w14:paraId="6CCF3728" w14:textId="0BD2F99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παρέχεται ως δάνειο το οποίο,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33C8ED39" w14:textId="37BD271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44733AB3" w14:textId="77777777" w:rsidTr="0039321F">
        <w:tc>
          <w:tcPr>
            <w:tcW w:w="703" w:type="dxa"/>
            <w:shd w:val="clear" w:color="auto" w:fill="FFFFFF"/>
            <w:vAlign w:val="center"/>
          </w:tcPr>
          <w:p w14:paraId="704C631C" w14:textId="1FA878B0" w:rsidR="00F71050" w:rsidRPr="000B6B22" w:rsidRDefault="00AD7441">
            <w:pPr>
              <w:spacing w:before="0"/>
              <w:rPr>
                <w:rFonts w:ascii="Times New Roman" w:eastAsia="PMingLiU" w:hAnsi="Times New Roman"/>
                <w:sz w:val="24"/>
              </w:rPr>
            </w:pPr>
            <w:r>
              <w:rPr>
                <w:rFonts w:ascii="Times New Roman" w:hAnsi="Times New Roman"/>
                <w:sz w:val="24"/>
              </w:rPr>
              <w:t>2170</w:t>
            </w:r>
          </w:p>
        </w:tc>
        <w:tc>
          <w:tcPr>
            <w:tcW w:w="7371" w:type="dxa"/>
            <w:shd w:val="clear" w:color="auto" w:fill="FFFFFF"/>
          </w:tcPr>
          <w:p w14:paraId="67A12A0B" w14:textId="6E924B8A"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2.5.6. Επιπέδου 2Β τίτλοι από τιτλοποίηση (εμπορικά δάνεια ή δάνεια σε ιδιώτες, κράτος μέλος, ΒΠΠ1)</w:t>
            </w:r>
          </w:p>
          <w:p w14:paraId="47668E70" w14:textId="3AD94B4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υψηλής ποιότητας καλυμμένα ομόλογα επιπέδου 2Β (που παρέχονται ως δάνειο) με τίτλους από τιτλοποίηση επιπέδου 2Β (εμπορικά δάνεια ή δάνεια σε ιδιώτες, κράτος μέλος, ΒΠΠ1) (που λαμβάνονται ως δάνειο)</w:t>
            </w:r>
          </w:p>
        </w:tc>
      </w:tr>
      <w:tr w:rsidR="00B47B7D" w:rsidRPr="000B6B22" w14:paraId="1401B786" w14:textId="77777777" w:rsidTr="0039321F">
        <w:tc>
          <w:tcPr>
            <w:tcW w:w="703" w:type="dxa"/>
            <w:shd w:val="clear" w:color="auto" w:fill="FFFFFF"/>
            <w:vAlign w:val="center"/>
          </w:tcPr>
          <w:p w14:paraId="139FC0F8" w14:textId="1D2AB24F" w:rsidR="00F71050" w:rsidRPr="000B6B22" w:rsidRDefault="00AD7441">
            <w:pPr>
              <w:spacing w:before="0"/>
              <w:rPr>
                <w:rFonts w:ascii="Times New Roman" w:eastAsia="PMingLiU" w:hAnsi="Times New Roman"/>
                <w:sz w:val="24"/>
              </w:rPr>
            </w:pPr>
            <w:r>
              <w:rPr>
                <w:rFonts w:ascii="Times New Roman" w:hAnsi="Times New Roman"/>
                <w:sz w:val="24"/>
              </w:rPr>
              <w:lastRenderedPageBreak/>
              <w:t>2180</w:t>
            </w:r>
          </w:p>
        </w:tc>
        <w:tc>
          <w:tcPr>
            <w:tcW w:w="7371" w:type="dxa"/>
            <w:shd w:val="clear" w:color="auto" w:fill="FFFFFF"/>
          </w:tcPr>
          <w:p w14:paraId="72BA98B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2.5.6.1. Των οποίων οι εξασφαλίσεις που ανταλλάσσονται πληρούν τις λειτουργικές απαιτήσεις</w:t>
            </w:r>
          </w:p>
          <w:p w14:paraId="3FE4E238" w14:textId="3D297E4B"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2.5.6. τα πιστωτικά ιδρύματα αναφέρουν:</w:t>
            </w:r>
          </w:p>
          <w:p w14:paraId="5AAECA58" w14:textId="7BDED01F"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παρέχεται ως δάνειο το οποίο,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44EB5AA8" w14:textId="2DE31D0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1E98C33F" w14:textId="77777777" w:rsidTr="0039321F">
        <w:tc>
          <w:tcPr>
            <w:tcW w:w="703" w:type="dxa"/>
            <w:shd w:val="clear" w:color="auto" w:fill="FFFFFF"/>
            <w:vAlign w:val="center"/>
          </w:tcPr>
          <w:p w14:paraId="20EA5703" w14:textId="0A0752C9" w:rsidR="00F71050" w:rsidRPr="000B6B22" w:rsidRDefault="00AD7441">
            <w:pPr>
              <w:spacing w:before="0"/>
              <w:rPr>
                <w:rFonts w:ascii="Times New Roman" w:eastAsia="PMingLiU" w:hAnsi="Times New Roman"/>
                <w:sz w:val="24"/>
              </w:rPr>
            </w:pPr>
            <w:r>
              <w:rPr>
                <w:rFonts w:ascii="Times New Roman" w:hAnsi="Times New Roman"/>
                <w:sz w:val="24"/>
              </w:rPr>
              <w:t>2190</w:t>
            </w:r>
          </w:p>
        </w:tc>
        <w:tc>
          <w:tcPr>
            <w:tcW w:w="7371" w:type="dxa"/>
            <w:shd w:val="clear" w:color="auto" w:fill="FFFFFF"/>
          </w:tcPr>
          <w:p w14:paraId="2B136C4F" w14:textId="7CDDD22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2.5.7. Άλλα στοιχεία επιπέδου 2Β</w:t>
            </w:r>
          </w:p>
          <w:p w14:paraId="56192B23" w14:textId="1D8F86B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υψηλής ποιότητας καλυμμένα ομόλογα επιπέδου 2Β (που παρέχονται ως δάνειο) με άλλα στοιχεία επιπέδου 2Β (που λαμβάνονται ως δάνειο)</w:t>
            </w:r>
          </w:p>
        </w:tc>
      </w:tr>
      <w:tr w:rsidR="00B47B7D" w:rsidRPr="000B6B22" w14:paraId="411C9B09" w14:textId="77777777" w:rsidTr="0039321F">
        <w:tc>
          <w:tcPr>
            <w:tcW w:w="703" w:type="dxa"/>
            <w:shd w:val="clear" w:color="auto" w:fill="FFFFFF"/>
            <w:vAlign w:val="center"/>
          </w:tcPr>
          <w:p w14:paraId="65870015" w14:textId="55FFAF30" w:rsidR="00F71050" w:rsidRPr="000B6B22" w:rsidRDefault="00AD7441">
            <w:pPr>
              <w:spacing w:before="0"/>
              <w:rPr>
                <w:rFonts w:ascii="Times New Roman" w:eastAsia="PMingLiU" w:hAnsi="Times New Roman"/>
                <w:sz w:val="24"/>
              </w:rPr>
            </w:pPr>
            <w:r>
              <w:rPr>
                <w:rFonts w:ascii="Times New Roman" w:hAnsi="Times New Roman"/>
                <w:sz w:val="24"/>
              </w:rPr>
              <w:t>2200</w:t>
            </w:r>
          </w:p>
        </w:tc>
        <w:tc>
          <w:tcPr>
            <w:tcW w:w="7371" w:type="dxa"/>
            <w:shd w:val="clear" w:color="auto" w:fill="FFFFFF"/>
          </w:tcPr>
          <w:p w14:paraId="071B085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2.5.7.1. Των οποίων οι εξασφαλίσεις που ανταλλάσσονται πληρούν τις λειτουργικές απαιτήσεις</w:t>
            </w:r>
          </w:p>
          <w:p w14:paraId="1F9F8931" w14:textId="7160383B"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2.5.7. τα πιστωτικά ιδρύματα αναφέρουν:</w:t>
            </w:r>
          </w:p>
          <w:p w14:paraId="3FA96E0F" w14:textId="262FE3C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παρέχεται ως δάνειο το οποίο,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5136DF2D" w14:textId="16417C0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05D762CA" w14:textId="77777777" w:rsidTr="0039321F">
        <w:tc>
          <w:tcPr>
            <w:tcW w:w="703" w:type="dxa"/>
            <w:shd w:val="clear" w:color="auto" w:fill="FFFFFF"/>
            <w:vAlign w:val="center"/>
          </w:tcPr>
          <w:p w14:paraId="0174925F" w14:textId="4CF0B58B" w:rsidR="00F71050" w:rsidRPr="000B6B22" w:rsidRDefault="00AD7441">
            <w:pPr>
              <w:spacing w:before="0"/>
              <w:rPr>
                <w:rFonts w:ascii="Times New Roman" w:eastAsia="PMingLiU" w:hAnsi="Times New Roman"/>
                <w:sz w:val="24"/>
              </w:rPr>
            </w:pPr>
            <w:r>
              <w:rPr>
                <w:rFonts w:ascii="Times New Roman" w:hAnsi="Times New Roman"/>
                <w:sz w:val="24"/>
              </w:rPr>
              <w:t>2210</w:t>
            </w:r>
          </w:p>
        </w:tc>
        <w:tc>
          <w:tcPr>
            <w:tcW w:w="7371" w:type="dxa"/>
            <w:shd w:val="clear" w:color="auto" w:fill="FFFFFF"/>
          </w:tcPr>
          <w:p w14:paraId="16F12323" w14:textId="6940816B"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2.5.8. Μη ρευστά στοιχεία ενεργητικού</w:t>
            </w:r>
          </w:p>
          <w:p w14:paraId="425D06B7" w14:textId="432DD71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υψηλής ποιότητας καλυμμένα ομόλογα επιπέδου 2Β (που παρέχονται ως δάνειο) με μη ρευστά στοιχεία ενεργητικού (που λαμβάνονται ως δάνειο)</w:t>
            </w:r>
          </w:p>
        </w:tc>
      </w:tr>
      <w:tr w:rsidR="00B47B7D" w:rsidRPr="000B6B22" w14:paraId="12053FFC" w14:textId="77777777" w:rsidTr="0039321F">
        <w:tc>
          <w:tcPr>
            <w:tcW w:w="703" w:type="dxa"/>
            <w:shd w:val="clear" w:color="auto" w:fill="auto"/>
            <w:vAlign w:val="center"/>
          </w:tcPr>
          <w:p w14:paraId="32F59DB9" w14:textId="49716345" w:rsidR="00F71050" w:rsidRPr="000B6B22" w:rsidRDefault="008D0A41">
            <w:pPr>
              <w:spacing w:before="0"/>
              <w:rPr>
                <w:rFonts w:ascii="Times New Roman" w:eastAsia="PMingLiU" w:hAnsi="Times New Roman"/>
                <w:sz w:val="24"/>
              </w:rPr>
            </w:pPr>
            <w:r>
              <w:rPr>
                <w:rFonts w:ascii="Times New Roman" w:hAnsi="Times New Roman"/>
                <w:sz w:val="24"/>
              </w:rPr>
              <w:t>2220</w:t>
            </w:r>
          </w:p>
        </w:tc>
        <w:tc>
          <w:tcPr>
            <w:tcW w:w="7371" w:type="dxa"/>
            <w:shd w:val="clear" w:color="auto" w:fill="auto"/>
          </w:tcPr>
          <w:p w14:paraId="13B0A0D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2.5.8.1. Των οποίων οι εξασφαλίσεις που ανταλλάσσονται πληρούν τις λειτουργικές απαιτήσεις</w:t>
            </w:r>
          </w:p>
          <w:p w14:paraId="3381B4E3" w14:textId="50A19A98"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Από τις συναλλαγές που αναφέρονται στο σημείο 2.5.8., τα πιστωτικά ιδρύματα αναφέρουν το σκέλος της εξασφάλισης που παρέχεται ως δάνειο το οποίο,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w:t>
            </w:r>
          </w:p>
        </w:tc>
      </w:tr>
      <w:tr w:rsidR="00B47B7D" w:rsidRPr="000B6B22" w14:paraId="415B45B4" w14:textId="77777777" w:rsidTr="0039321F">
        <w:tc>
          <w:tcPr>
            <w:tcW w:w="703" w:type="dxa"/>
            <w:shd w:val="clear" w:color="auto" w:fill="auto"/>
            <w:vAlign w:val="center"/>
          </w:tcPr>
          <w:p w14:paraId="6E746004" w14:textId="1DFA3CBD" w:rsidR="00F71050" w:rsidRPr="000B6B22" w:rsidRDefault="008D0A41">
            <w:pPr>
              <w:spacing w:before="0"/>
              <w:rPr>
                <w:rFonts w:ascii="Times New Roman" w:eastAsia="PMingLiU" w:hAnsi="Times New Roman"/>
                <w:sz w:val="24"/>
              </w:rPr>
            </w:pPr>
            <w:r>
              <w:rPr>
                <w:rFonts w:ascii="Times New Roman" w:hAnsi="Times New Roman"/>
                <w:sz w:val="24"/>
              </w:rPr>
              <w:t>2230</w:t>
            </w:r>
          </w:p>
        </w:tc>
        <w:tc>
          <w:tcPr>
            <w:tcW w:w="7371" w:type="dxa"/>
            <w:shd w:val="clear" w:color="auto" w:fill="auto"/>
          </w:tcPr>
          <w:p w14:paraId="3420C0FD" w14:textId="62B4A21E" w:rsidR="00F71050" w:rsidRPr="000B6B22" w:rsidRDefault="00F71050" w:rsidP="009D4EFF">
            <w:pPr>
              <w:spacing w:before="0"/>
              <w:ind w:left="-84"/>
              <w:rPr>
                <w:rFonts w:ascii="Times New Roman" w:eastAsia="PMingLiU" w:hAnsi="Times New Roman"/>
                <w:sz w:val="24"/>
              </w:rPr>
            </w:pPr>
            <w:r>
              <w:rPr>
                <w:rFonts w:ascii="Times New Roman" w:hAnsi="Times New Roman"/>
                <w:b/>
                <w:sz w:val="24"/>
              </w:rPr>
              <w:t>2.6. Σύνολα για συναλλαγές κατά τις οποίες: τίτλοι επιπέδου 2Β από τιτλοποίηση (εμπορικά δάνεια ή δάνεια σε ιδιώτες, ΒΠΠ1) παρέχονται ως δάνειο και οι ακόλουθες εξασφαλίσεις λαμβάνονται ως δάνειο:</w:t>
            </w:r>
          </w:p>
          <w:p w14:paraId="601A6466" w14:textId="46BC3E20"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Άρθρο 28 παράγραφος 4 και άρθρο 32 παράγραφος 3 του κατ’ εξουσιοδότηση κανονισμού (ΕΕ) 2015/61</w:t>
            </w:r>
          </w:p>
          <w:p w14:paraId="2E6A5C14" w14:textId="56DFCBA6"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 xml:space="preserve">Τα πιστωτικά ιδρύματα αναφέρουν εδώ, για τις σχετικές στήλες, τις συνολικές αξίες των πράξεων ανταλλαγής εξασφαλίσεων για συναλλαγές </w:t>
            </w:r>
            <w:r>
              <w:rPr>
                <w:rFonts w:ascii="Times New Roman" w:hAnsi="Times New Roman"/>
                <w:sz w:val="24"/>
              </w:rPr>
              <w:lastRenderedPageBreak/>
              <w:t>κατά τις οποίες τίτλοι από τιτλοποίηση επιπέδου 2Β (εμπορικά δάνεια ή δάνεια σε ιδιώτες, κράτος μέλος, ΒΠΠ1) παρέχονται ως δάνειο.</w:t>
            </w:r>
          </w:p>
        </w:tc>
      </w:tr>
      <w:tr w:rsidR="00B47B7D" w:rsidRPr="000B6B22" w14:paraId="7C26DA40" w14:textId="77777777" w:rsidTr="0039321F">
        <w:tc>
          <w:tcPr>
            <w:tcW w:w="703" w:type="dxa"/>
            <w:shd w:val="clear" w:color="auto" w:fill="FFFFFF"/>
            <w:vAlign w:val="center"/>
          </w:tcPr>
          <w:p w14:paraId="658DED72" w14:textId="23F8DD01" w:rsidR="00F71050" w:rsidRPr="000B6B22" w:rsidRDefault="008D0A41">
            <w:pPr>
              <w:spacing w:before="0"/>
              <w:rPr>
                <w:rFonts w:ascii="Times New Roman" w:eastAsia="PMingLiU" w:hAnsi="Times New Roman"/>
                <w:sz w:val="24"/>
              </w:rPr>
            </w:pPr>
            <w:r>
              <w:rPr>
                <w:rFonts w:ascii="Times New Roman" w:hAnsi="Times New Roman"/>
                <w:sz w:val="24"/>
              </w:rPr>
              <w:lastRenderedPageBreak/>
              <w:t>2240</w:t>
            </w:r>
          </w:p>
        </w:tc>
        <w:tc>
          <w:tcPr>
            <w:tcW w:w="7371" w:type="dxa"/>
            <w:shd w:val="clear" w:color="auto" w:fill="FFFFFF"/>
          </w:tcPr>
          <w:p w14:paraId="10DB0D3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2.6.1. Στοιχεία ενεργητικού επιπέδου 1 (εξαιρουμένων των ΕΥΠ καλυμμένων ομολόγων)</w:t>
            </w:r>
          </w:p>
          <w:p w14:paraId="228C51B2" w14:textId="7603A615"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τίτλους από τιτλοποίηση επιπέδου 2Β (εμπορικά δάνεια ή δάνεια σε ιδιώτες, κράτος μέλος, ΒΠΠ1) (που παρέχονται ως δάνειο) με στοιχεία ενεργητικού επιπέδου 1, εξαιρουμένων των ΕΥΠ καλυμμένων ομολόγων (που λαμβάνονται ως δάνειο).</w:t>
            </w:r>
          </w:p>
        </w:tc>
      </w:tr>
      <w:tr w:rsidR="00B47B7D" w:rsidRPr="000B6B22" w14:paraId="562D0566" w14:textId="77777777" w:rsidTr="0039321F">
        <w:tc>
          <w:tcPr>
            <w:tcW w:w="703" w:type="dxa"/>
            <w:shd w:val="clear" w:color="auto" w:fill="FFFFFF"/>
            <w:vAlign w:val="center"/>
          </w:tcPr>
          <w:p w14:paraId="798FB91D" w14:textId="1D4327A3" w:rsidR="00F71050" w:rsidRPr="000B6B22" w:rsidRDefault="008D0A41">
            <w:pPr>
              <w:spacing w:before="0"/>
              <w:rPr>
                <w:rFonts w:ascii="Times New Roman" w:eastAsia="PMingLiU" w:hAnsi="Times New Roman"/>
                <w:sz w:val="24"/>
              </w:rPr>
            </w:pPr>
            <w:r>
              <w:rPr>
                <w:rFonts w:ascii="Times New Roman" w:hAnsi="Times New Roman"/>
                <w:sz w:val="24"/>
              </w:rPr>
              <w:t>2250</w:t>
            </w:r>
          </w:p>
        </w:tc>
        <w:tc>
          <w:tcPr>
            <w:tcW w:w="7371" w:type="dxa"/>
            <w:shd w:val="clear" w:color="auto" w:fill="FFFFFF"/>
          </w:tcPr>
          <w:p w14:paraId="19BD951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2.6.1.1. Των οποίων οι εξασφαλίσεις που ανταλλάσσονται πληρούν τις λειτουργικές απαιτήσεις</w:t>
            </w:r>
          </w:p>
          <w:p w14:paraId="2547C86D" w14:textId="7E4C0F0A"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2.6.1. τα πιστωτικά ιδρύματα αναφέρουν:</w:t>
            </w:r>
          </w:p>
          <w:p w14:paraId="772B6D2D" w14:textId="050773C3"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παρέχεται ως δάνειο το οποίο,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4FCF1387" w14:textId="09F0A45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269A54C0" w14:textId="77777777" w:rsidTr="0039321F">
        <w:tc>
          <w:tcPr>
            <w:tcW w:w="703" w:type="dxa"/>
            <w:shd w:val="clear" w:color="auto" w:fill="FFFFFF"/>
            <w:vAlign w:val="center"/>
          </w:tcPr>
          <w:p w14:paraId="1834EE5A" w14:textId="34545B80" w:rsidR="00F71050" w:rsidRPr="000B6B22" w:rsidRDefault="008D0A41">
            <w:pPr>
              <w:spacing w:before="0"/>
              <w:rPr>
                <w:rFonts w:ascii="Times New Roman" w:eastAsia="PMingLiU" w:hAnsi="Times New Roman"/>
                <w:sz w:val="24"/>
              </w:rPr>
            </w:pPr>
            <w:r>
              <w:rPr>
                <w:rFonts w:ascii="Times New Roman" w:hAnsi="Times New Roman"/>
                <w:sz w:val="24"/>
              </w:rPr>
              <w:t>2260</w:t>
            </w:r>
          </w:p>
        </w:tc>
        <w:tc>
          <w:tcPr>
            <w:tcW w:w="7371" w:type="dxa"/>
            <w:shd w:val="clear" w:color="auto" w:fill="FFFFFF"/>
          </w:tcPr>
          <w:p w14:paraId="7FF880C3" w14:textId="6FDD15F6"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2.6.2. Επιπέδου 1 εξαιρετικά υψηλής ποιότητας καλυμμένα ομόλογα</w:t>
            </w:r>
          </w:p>
          <w:p w14:paraId="2E524E80" w14:textId="181C5BB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τίτλους από τιτλοποίηση επιπέδου 2Β (εμπορικά δάνεια ή δάνεια σε ιδιώτες, κράτος μέλος, ΒΠΠ1) (που παρέχονται ως δάνειο) με επιπέδου 1 εξαιρετικά υψηλής ποιότητας καλυμμένα ομόλογα (που λαμβάνονται ως δάνειο)</w:t>
            </w:r>
          </w:p>
        </w:tc>
      </w:tr>
      <w:tr w:rsidR="00B47B7D" w:rsidRPr="000B6B22" w14:paraId="57C860F0" w14:textId="77777777" w:rsidTr="0039321F">
        <w:tc>
          <w:tcPr>
            <w:tcW w:w="703" w:type="dxa"/>
            <w:shd w:val="clear" w:color="auto" w:fill="FFFFFF"/>
            <w:vAlign w:val="center"/>
          </w:tcPr>
          <w:p w14:paraId="09B211D6" w14:textId="23471BB0" w:rsidR="00F71050" w:rsidRPr="000B6B22" w:rsidRDefault="008D0A41">
            <w:pPr>
              <w:spacing w:before="0"/>
              <w:rPr>
                <w:rFonts w:ascii="Times New Roman" w:eastAsia="PMingLiU" w:hAnsi="Times New Roman"/>
                <w:sz w:val="24"/>
              </w:rPr>
            </w:pPr>
            <w:r>
              <w:rPr>
                <w:rFonts w:ascii="Times New Roman" w:hAnsi="Times New Roman"/>
                <w:sz w:val="24"/>
              </w:rPr>
              <w:t>2270</w:t>
            </w:r>
          </w:p>
        </w:tc>
        <w:tc>
          <w:tcPr>
            <w:tcW w:w="7371" w:type="dxa"/>
            <w:shd w:val="clear" w:color="auto" w:fill="FFFFFF"/>
          </w:tcPr>
          <w:p w14:paraId="0F62E82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2.6.2.1. Των οποίων οι εξασφαλίσεις που ανταλλάσσονται πληρούν τις λειτουργικές απαιτήσεις</w:t>
            </w:r>
          </w:p>
          <w:p w14:paraId="7A8DBB85" w14:textId="12F6E8E7"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2.6.2. τα πιστωτικά ιδρύματα αναφέρουν:</w:t>
            </w:r>
          </w:p>
          <w:p w14:paraId="3A604D76" w14:textId="25519799"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παρέχεται ως δάνειο το οποίο,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5DDF3A31" w14:textId="46318C7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46421F65" w14:textId="77777777" w:rsidTr="0039321F">
        <w:tc>
          <w:tcPr>
            <w:tcW w:w="703" w:type="dxa"/>
            <w:shd w:val="clear" w:color="auto" w:fill="FFFFFF"/>
            <w:vAlign w:val="center"/>
          </w:tcPr>
          <w:p w14:paraId="3D3BA9AF" w14:textId="79FDEEC6" w:rsidR="00F71050" w:rsidRPr="000B6B22" w:rsidRDefault="008D0A41">
            <w:pPr>
              <w:spacing w:before="0"/>
              <w:rPr>
                <w:rFonts w:ascii="Times New Roman" w:eastAsia="PMingLiU" w:hAnsi="Times New Roman"/>
                <w:sz w:val="24"/>
              </w:rPr>
            </w:pPr>
            <w:r>
              <w:rPr>
                <w:rFonts w:ascii="Times New Roman" w:hAnsi="Times New Roman"/>
                <w:sz w:val="24"/>
              </w:rPr>
              <w:t>2280</w:t>
            </w:r>
          </w:p>
        </w:tc>
        <w:tc>
          <w:tcPr>
            <w:tcW w:w="7371" w:type="dxa"/>
            <w:shd w:val="clear" w:color="auto" w:fill="FFFFFF"/>
          </w:tcPr>
          <w:p w14:paraId="34E977E4"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2.6.3. Στοιχεία ενεργητικού επιπέδου 2Α</w:t>
            </w:r>
          </w:p>
          <w:p w14:paraId="65173466" w14:textId="2BB39DB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τίτλους από τιτλοποίηση επιπέδου 2Β (εμπορικά δάνεια ή δάνεια σε ιδιώτες, κράτος μέλος, ΒΠΠ1) (που παρέχονται ως δάνειο) με στοιχεία ενεργητικού επιπέδου 2Α (που λαμβάνονται ως δάνειο)</w:t>
            </w:r>
          </w:p>
        </w:tc>
      </w:tr>
      <w:tr w:rsidR="00B47B7D" w:rsidRPr="000B6B22" w14:paraId="36E51E7A" w14:textId="77777777" w:rsidTr="0039321F">
        <w:tc>
          <w:tcPr>
            <w:tcW w:w="703" w:type="dxa"/>
            <w:shd w:val="clear" w:color="auto" w:fill="FFFFFF"/>
            <w:vAlign w:val="center"/>
          </w:tcPr>
          <w:p w14:paraId="71BB4692" w14:textId="1DBE18D8" w:rsidR="00F71050" w:rsidRPr="000B6B22" w:rsidRDefault="008D0A41">
            <w:pPr>
              <w:spacing w:before="0"/>
              <w:rPr>
                <w:rFonts w:ascii="Times New Roman" w:eastAsia="PMingLiU" w:hAnsi="Times New Roman"/>
                <w:sz w:val="24"/>
              </w:rPr>
            </w:pPr>
            <w:r>
              <w:rPr>
                <w:rFonts w:ascii="Times New Roman" w:hAnsi="Times New Roman"/>
                <w:sz w:val="24"/>
              </w:rPr>
              <w:t>2290</w:t>
            </w:r>
          </w:p>
        </w:tc>
        <w:tc>
          <w:tcPr>
            <w:tcW w:w="7371" w:type="dxa"/>
            <w:shd w:val="clear" w:color="auto" w:fill="FFFFFF"/>
          </w:tcPr>
          <w:p w14:paraId="388F49E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2.6.3.1. Των οποίων οι εξασφαλίσεις που ανταλλάσσονται πληρούν τις λειτουργικές απαιτήσεις</w:t>
            </w:r>
          </w:p>
          <w:p w14:paraId="34D1F991" w14:textId="24B5FC4D" w:rsidR="00F71050" w:rsidRPr="000B6B22" w:rsidRDefault="00F71050" w:rsidP="009D4EFF">
            <w:pPr>
              <w:spacing w:before="0"/>
              <w:ind w:left="-84"/>
              <w:rPr>
                <w:rFonts w:ascii="Times New Roman" w:hAnsi="Times New Roman"/>
                <w:sz w:val="24"/>
              </w:rPr>
            </w:pPr>
            <w:r>
              <w:rPr>
                <w:rFonts w:ascii="Times New Roman" w:hAnsi="Times New Roman"/>
                <w:sz w:val="24"/>
              </w:rPr>
              <w:lastRenderedPageBreak/>
              <w:t>Από τις συναλλαγές που αναφέρονται στο σημείο 2.6.3. τα πιστωτικά ιδρύματα αναφέρουν:</w:t>
            </w:r>
          </w:p>
          <w:p w14:paraId="5A8E1ED3" w14:textId="749CDDC0"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παρέχεται ως δάνειο το οποίο,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00116890" w14:textId="40F40F6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4333EE67" w14:textId="77777777" w:rsidTr="0039321F">
        <w:tc>
          <w:tcPr>
            <w:tcW w:w="703" w:type="dxa"/>
            <w:shd w:val="clear" w:color="auto" w:fill="FFFFFF"/>
            <w:vAlign w:val="center"/>
          </w:tcPr>
          <w:p w14:paraId="0ECEF0B6" w14:textId="20CBD423" w:rsidR="00F71050" w:rsidRPr="000B6B22" w:rsidRDefault="008D0A41">
            <w:pPr>
              <w:spacing w:before="0"/>
              <w:rPr>
                <w:rFonts w:ascii="Times New Roman" w:eastAsia="PMingLiU" w:hAnsi="Times New Roman"/>
                <w:sz w:val="24"/>
              </w:rPr>
            </w:pPr>
            <w:r>
              <w:rPr>
                <w:rFonts w:ascii="Times New Roman" w:hAnsi="Times New Roman"/>
                <w:sz w:val="24"/>
              </w:rPr>
              <w:lastRenderedPageBreak/>
              <w:t>2300</w:t>
            </w:r>
          </w:p>
        </w:tc>
        <w:tc>
          <w:tcPr>
            <w:tcW w:w="7371" w:type="dxa"/>
            <w:shd w:val="clear" w:color="auto" w:fill="FFFFFF"/>
          </w:tcPr>
          <w:p w14:paraId="60F2EAC0" w14:textId="6DFFB79C"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2.6.4. Επιπέδου 2Β τίτλοι από τιτλοποίηση (στεγαστικά δάνεια ή δάνεια αγοράς αυτοκινήτου, ΒΠΠ1)</w:t>
            </w:r>
          </w:p>
          <w:p w14:paraId="32DC2994" w14:textId="0633C9A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τίτλους από τιτλοποίηση επιπέδου 2Β (εμπορικά δάνεια ή δάνεια σε ιδιώτες, κράτος μέλος, ΒΠΠ1) (που παρέχονται ως δάνειο) με τίτλους από τιτλοποίηση επιπέδου 2Β (στεγαστικά δάνεια ή δάνεια αγοράς αυτοκινήτου, ΒΠΠ1) (που λαμβάνονται ως δάνειο).</w:t>
            </w:r>
          </w:p>
        </w:tc>
      </w:tr>
      <w:tr w:rsidR="00B47B7D" w:rsidRPr="000B6B22" w14:paraId="2C5ECF8F" w14:textId="77777777" w:rsidTr="0039321F">
        <w:tc>
          <w:tcPr>
            <w:tcW w:w="703" w:type="dxa"/>
            <w:shd w:val="clear" w:color="auto" w:fill="FFFFFF"/>
            <w:vAlign w:val="center"/>
          </w:tcPr>
          <w:p w14:paraId="3A4DC4E1" w14:textId="469608FF" w:rsidR="00F71050" w:rsidRPr="000B6B22" w:rsidRDefault="008D0A41">
            <w:pPr>
              <w:spacing w:before="0"/>
              <w:rPr>
                <w:rFonts w:ascii="Times New Roman" w:eastAsia="PMingLiU" w:hAnsi="Times New Roman"/>
                <w:sz w:val="24"/>
              </w:rPr>
            </w:pPr>
            <w:r>
              <w:rPr>
                <w:rFonts w:ascii="Times New Roman" w:hAnsi="Times New Roman"/>
                <w:sz w:val="24"/>
              </w:rPr>
              <w:t>2310</w:t>
            </w:r>
          </w:p>
        </w:tc>
        <w:tc>
          <w:tcPr>
            <w:tcW w:w="7371" w:type="dxa"/>
            <w:shd w:val="clear" w:color="auto" w:fill="FFFFFF"/>
          </w:tcPr>
          <w:p w14:paraId="5486AEF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2.6.4.1. Των οποίων οι εξασφαλίσεις που ανταλλάσσονται πληρούν τις λειτουργικές απαιτήσεις</w:t>
            </w:r>
          </w:p>
          <w:p w14:paraId="2C201A42" w14:textId="0BCC717A"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2.6.4. τα πιστωτικά ιδρύματα αναφέρουν:</w:t>
            </w:r>
          </w:p>
          <w:p w14:paraId="0D2EA147" w14:textId="3D2A0C51"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παρέχεται ως δάνειο το οποίο,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51790FC5" w14:textId="112765B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76FD8E88" w14:textId="77777777" w:rsidTr="0039321F">
        <w:tc>
          <w:tcPr>
            <w:tcW w:w="703" w:type="dxa"/>
            <w:shd w:val="clear" w:color="auto" w:fill="FFFFFF"/>
            <w:vAlign w:val="center"/>
          </w:tcPr>
          <w:p w14:paraId="4C4D765E" w14:textId="04E40704" w:rsidR="00F71050" w:rsidRPr="000B6B22" w:rsidRDefault="008D0A41">
            <w:pPr>
              <w:spacing w:before="0"/>
              <w:rPr>
                <w:rFonts w:ascii="Times New Roman" w:eastAsia="PMingLiU" w:hAnsi="Times New Roman"/>
                <w:sz w:val="24"/>
              </w:rPr>
            </w:pPr>
            <w:r>
              <w:rPr>
                <w:rFonts w:ascii="Times New Roman" w:hAnsi="Times New Roman"/>
                <w:sz w:val="24"/>
              </w:rPr>
              <w:t>2320</w:t>
            </w:r>
          </w:p>
        </w:tc>
        <w:tc>
          <w:tcPr>
            <w:tcW w:w="7371" w:type="dxa"/>
            <w:shd w:val="clear" w:color="auto" w:fill="FFFFFF"/>
          </w:tcPr>
          <w:p w14:paraId="16CCAFEE" w14:textId="2F7581E9"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2.6.5. Επιπέδου 2Β υψηλής ποιότητας καλυμμένα ομόλογα</w:t>
            </w:r>
          </w:p>
          <w:p w14:paraId="3F2B30D7" w14:textId="50371B9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τίτλους από τιτλοποίηση επιπέδου 2Β (εμπορικά δάνεια ή δάνεια σε ιδιώτες, κράτος μέλος, ΒΠΠ1) (που παρέχονται ως δάνειο) με υψηλής ποιότητας καλυμμένα ομόλογα επιπέδου 2Β (που λαμβάνονται ως δάνειο)</w:t>
            </w:r>
          </w:p>
        </w:tc>
      </w:tr>
      <w:tr w:rsidR="00B47B7D" w:rsidRPr="000B6B22" w14:paraId="26833F01" w14:textId="77777777" w:rsidTr="0039321F">
        <w:tc>
          <w:tcPr>
            <w:tcW w:w="703" w:type="dxa"/>
            <w:shd w:val="clear" w:color="auto" w:fill="FFFFFF"/>
            <w:vAlign w:val="center"/>
          </w:tcPr>
          <w:p w14:paraId="7851DCDB" w14:textId="3AEDD8E7" w:rsidR="00F71050" w:rsidRPr="000B6B22" w:rsidRDefault="008D0A41">
            <w:pPr>
              <w:spacing w:before="0"/>
              <w:rPr>
                <w:rFonts w:ascii="Times New Roman" w:eastAsia="PMingLiU" w:hAnsi="Times New Roman"/>
                <w:sz w:val="24"/>
              </w:rPr>
            </w:pPr>
            <w:r>
              <w:rPr>
                <w:rFonts w:ascii="Times New Roman" w:hAnsi="Times New Roman"/>
                <w:sz w:val="24"/>
              </w:rPr>
              <w:t>2330</w:t>
            </w:r>
          </w:p>
        </w:tc>
        <w:tc>
          <w:tcPr>
            <w:tcW w:w="7371" w:type="dxa"/>
            <w:shd w:val="clear" w:color="auto" w:fill="FFFFFF"/>
          </w:tcPr>
          <w:p w14:paraId="7792BBA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2.6.5.1. Των οποίων οι εξασφαλίσεις που ανταλλάσσονται πληρούν τις λειτουργικές απαιτήσεις</w:t>
            </w:r>
          </w:p>
          <w:p w14:paraId="61F0CCFC" w14:textId="7F20C255"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2.6.5. τα πιστωτικά ιδρύματα αναφέρουν:</w:t>
            </w:r>
          </w:p>
          <w:p w14:paraId="6FD8ACCC" w14:textId="6D2A3277"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παρέχεται ως δάνειο το οποίο,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0A136E83" w14:textId="06DEEB6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2DB1BDEE" w14:textId="77777777" w:rsidTr="0039321F">
        <w:tc>
          <w:tcPr>
            <w:tcW w:w="703" w:type="dxa"/>
            <w:shd w:val="clear" w:color="auto" w:fill="FFFFFF"/>
            <w:vAlign w:val="center"/>
          </w:tcPr>
          <w:p w14:paraId="1414D1AC" w14:textId="51A6F573" w:rsidR="00F71050" w:rsidRPr="000B6B22" w:rsidRDefault="008D0A41">
            <w:pPr>
              <w:spacing w:before="0"/>
              <w:rPr>
                <w:rFonts w:ascii="Times New Roman" w:eastAsia="PMingLiU" w:hAnsi="Times New Roman"/>
                <w:sz w:val="24"/>
              </w:rPr>
            </w:pPr>
            <w:r>
              <w:rPr>
                <w:rFonts w:ascii="Times New Roman" w:hAnsi="Times New Roman"/>
                <w:sz w:val="24"/>
              </w:rPr>
              <w:lastRenderedPageBreak/>
              <w:t>2340</w:t>
            </w:r>
          </w:p>
        </w:tc>
        <w:tc>
          <w:tcPr>
            <w:tcW w:w="7371" w:type="dxa"/>
            <w:shd w:val="clear" w:color="auto" w:fill="FFFFFF"/>
          </w:tcPr>
          <w:p w14:paraId="41678A49" w14:textId="30FA998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2.6.6. Επιπέδου 2Β τίτλοι από τιτλοποίηση (εμπορικά δάνεια ή δάνεια σε ιδιώτες, κράτος μέλος, ΒΠΠ1)</w:t>
            </w:r>
          </w:p>
          <w:p w14:paraId="3E49BBAD" w14:textId="18E09D3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τίτλους από τιτλοποίηση επιπέδου 2Β (εμπορικά δάνεια ή δάνεια σε ιδιώτες, κράτος μέλος, ΒΠΠ1) (που παρέχονται ως δάνειο) με τίτλους από τιτλοποίηση επιπέδου 2Β (εμπορικά δάνεια ή δάνεια σε ιδιώτες, κράτος μέλος, ΒΠΠ1) (που λαμβάνονται ως δάνειο).</w:t>
            </w:r>
          </w:p>
        </w:tc>
      </w:tr>
      <w:tr w:rsidR="00B47B7D" w:rsidRPr="000B6B22" w14:paraId="1AF3619C" w14:textId="77777777" w:rsidTr="0039321F">
        <w:tc>
          <w:tcPr>
            <w:tcW w:w="703" w:type="dxa"/>
            <w:shd w:val="clear" w:color="auto" w:fill="FFFFFF"/>
            <w:vAlign w:val="center"/>
          </w:tcPr>
          <w:p w14:paraId="16D02463" w14:textId="0D232D53" w:rsidR="00F71050" w:rsidRPr="000B6B22" w:rsidRDefault="008D0A41">
            <w:pPr>
              <w:spacing w:before="0"/>
              <w:rPr>
                <w:rFonts w:ascii="Times New Roman" w:eastAsia="PMingLiU" w:hAnsi="Times New Roman"/>
                <w:sz w:val="24"/>
              </w:rPr>
            </w:pPr>
            <w:r>
              <w:rPr>
                <w:rFonts w:ascii="Times New Roman" w:hAnsi="Times New Roman"/>
                <w:sz w:val="24"/>
              </w:rPr>
              <w:t>2350</w:t>
            </w:r>
          </w:p>
        </w:tc>
        <w:tc>
          <w:tcPr>
            <w:tcW w:w="7371" w:type="dxa"/>
            <w:shd w:val="clear" w:color="auto" w:fill="FFFFFF"/>
          </w:tcPr>
          <w:p w14:paraId="4A10A40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2.6.6.1. Των οποίων οι εξασφαλίσεις που ανταλλάσσονται πληρούν τις λειτουργικές απαιτήσεις</w:t>
            </w:r>
          </w:p>
          <w:p w14:paraId="75DF28B9" w14:textId="7BFC4AA0"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2.6.6. τα πιστωτικά ιδρύματα αναφέρουν:</w:t>
            </w:r>
          </w:p>
          <w:p w14:paraId="27981C47" w14:textId="18C7E1CD"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παρέχεται ως δάνειο το οποίο,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33673F47" w14:textId="472E2AB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1852DA27" w14:textId="77777777" w:rsidTr="0039321F">
        <w:tc>
          <w:tcPr>
            <w:tcW w:w="703" w:type="dxa"/>
            <w:shd w:val="clear" w:color="auto" w:fill="FFFFFF"/>
            <w:vAlign w:val="center"/>
          </w:tcPr>
          <w:p w14:paraId="05F456D9" w14:textId="198E75E3" w:rsidR="00F71050" w:rsidRPr="000B6B22" w:rsidRDefault="008D0A41">
            <w:pPr>
              <w:spacing w:before="0"/>
              <w:rPr>
                <w:rFonts w:ascii="Times New Roman" w:eastAsia="PMingLiU" w:hAnsi="Times New Roman"/>
                <w:sz w:val="24"/>
              </w:rPr>
            </w:pPr>
            <w:r>
              <w:rPr>
                <w:rFonts w:ascii="Times New Roman" w:hAnsi="Times New Roman"/>
                <w:sz w:val="24"/>
              </w:rPr>
              <w:t>2360</w:t>
            </w:r>
          </w:p>
        </w:tc>
        <w:tc>
          <w:tcPr>
            <w:tcW w:w="7371" w:type="dxa"/>
            <w:shd w:val="clear" w:color="auto" w:fill="FFFFFF"/>
          </w:tcPr>
          <w:p w14:paraId="68D2C166" w14:textId="512AC0D8"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2.6.7. Άλλα στοιχεία ενεργητικού επιπέδου 2Β</w:t>
            </w:r>
          </w:p>
          <w:p w14:paraId="08F0C8C5" w14:textId="3D82653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τίτλους από τιτλοποίηση επιπέδου 2Β (εμπορικά δάνεια ή δάνεια σε ιδιώτες, κράτος μέλος, ΒΠΠ1) (που παρέχονται ως δάνειο) με άλλα στοιχεία επιπέδου 2Β (που λαμβάνονται ως δάνειο)</w:t>
            </w:r>
          </w:p>
        </w:tc>
      </w:tr>
      <w:tr w:rsidR="00B47B7D" w:rsidRPr="000B6B22" w14:paraId="6A9F5D0F" w14:textId="77777777" w:rsidTr="0039321F">
        <w:tc>
          <w:tcPr>
            <w:tcW w:w="703" w:type="dxa"/>
            <w:shd w:val="clear" w:color="auto" w:fill="FFFFFF"/>
            <w:vAlign w:val="center"/>
          </w:tcPr>
          <w:p w14:paraId="3D87C091" w14:textId="094D49CE" w:rsidR="00F71050" w:rsidRPr="000B6B22" w:rsidRDefault="008D0A41">
            <w:pPr>
              <w:spacing w:before="0"/>
              <w:rPr>
                <w:rFonts w:ascii="Times New Roman" w:eastAsia="PMingLiU" w:hAnsi="Times New Roman"/>
                <w:sz w:val="24"/>
              </w:rPr>
            </w:pPr>
            <w:r>
              <w:rPr>
                <w:rFonts w:ascii="Times New Roman" w:hAnsi="Times New Roman"/>
                <w:sz w:val="24"/>
              </w:rPr>
              <w:t>2370</w:t>
            </w:r>
          </w:p>
        </w:tc>
        <w:tc>
          <w:tcPr>
            <w:tcW w:w="7371" w:type="dxa"/>
            <w:shd w:val="clear" w:color="auto" w:fill="FFFFFF"/>
          </w:tcPr>
          <w:p w14:paraId="1BF34F9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2.6.7.1. Των οποίων οι εξασφαλίσεις που ανταλλάσσονται πληρούν τις λειτουργικές απαιτήσεις</w:t>
            </w:r>
          </w:p>
          <w:p w14:paraId="7B1454CB" w14:textId="4E71B2F1"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2.6.7. τα πιστωτικά ιδρύματα αναφέρουν:</w:t>
            </w:r>
          </w:p>
          <w:p w14:paraId="3B0CE375" w14:textId="7AEA97B9"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παρέχεται ως δάνειο το οποίο,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3636AD33" w14:textId="14CB7BB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53F0B642" w14:textId="77777777" w:rsidTr="0039321F">
        <w:tc>
          <w:tcPr>
            <w:tcW w:w="703" w:type="dxa"/>
            <w:shd w:val="clear" w:color="auto" w:fill="FFFFFF"/>
            <w:vAlign w:val="center"/>
          </w:tcPr>
          <w:p w14:paraId="7EC1F8FD" w14:textId="75150A1F" w:rsidR="00F71050" w:rsidRPr="000B6B22" w:rsidRDefault="008D0A41">
            <w:pPr>
              <w:spacing w:before="0"/>
              <w:rPr>
                <w:rFonts w:ascii="Times New Roman" w:eastAsia="PMingLiU" w:hAnsi="Times New Roman"/>
                <w:sz w:val="24"/>
              </w:rPr>
            </w:pPr>
            <w:r>
              <w:rPr>
                <w:rFonts w:ascii="Times New Roman" w:hAnsi="Times New Roman"/>
                <w:sz w:val="24"/>
              </w:rPr>
              <w:t>2380</w:t>
            </w:r>
          </w:p>
        </w:tc>
        <w:tc>
          <w:tcPr>
            <w:tcW w:w="7371" w:type="dxa"/>
            <w:shd w:val="clear" w:color="auto" w:fill="FFFFFF"/>
          </w:tcPr>
          <w:p w14:paraId="4CAD2FEC" w14:textId="5D54BC91"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2.6.8. Μη ρευστά στοιχεία ενεργητικού</w:t>
            </w:r>
          </w:p>
          <w:p w14:paraId="439205AE" w14:textId="368B30A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τίτλους από τιτλοποίηση επιπέδου 2Β (εμπορικά δάνεια ή δάνεια σε ιδιώτες, κράτος μέλος, ΒΠΠ1) (που παρέχονται ως δάνειο) με μη ρευστά στοιχεία ενεργητικού (που λαμβάνονται ως δάνειο)</w:t>
            </w:r>
          </w:p>
        </w:tc>
      </w:tr>
      <w:tr w:rsidR="00B47B7D" w:rsidRPr="000B6B22" w14:paraId="1115F753" w14:textId="77777777" w:rsidTr="0039321F">
        <w:tc>
          <w:tcPr>
            <w:tcW w:w="703" w:type="dxa"/>
            <w:shd w:val="clear" w:color="auto" w:fill="auto"/>
            <w:vAlign w:val="center"/>
          </w:tcPr>
          <w:p w14:paraId="548CD7D8" w14:textId="4332407F" w:rsidR="00F71050" w:rsidRPr="000B6B22" w:rsidRDefault="008D0A41">
            <w:pPr>
              <w:spacing w:before="0"/>
              <w:rPr>
                <w:rFonts w:ascii="Times New Roman" w:eastAsia="PMingLiU" w:hAnsi="Times New Roman"/>
                <w:sz w:val="24"/>
              </w:rPr>
            </w:pPr>
            <w:r>
              <w:rPr>
                <w:rFonts w:ascii="Times New Roman" w:hAnsi="Times New Roman"/>
                <w:sz w:val="24"/>
              </w:rPr>
              <w:t>2390</w:t>
            </w:r>
          </w:p>
        </w:tc>
        <w:tc>
          <w:tcPr>
            <w:tcW w:w="7371" w:type="dxa"/>
            <w:shd w:val="clear" w:color="auto" w:fill="auto"/>
          </w:tcPr>
          <w:p w14:paraId="3A41597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2.6.8.1. Των οποίων οι εξασφαλίσεις που ανταλλάσσονται πληρούν τις λειτουργικές απαιτήσεις</w:t>
            </w:r>
          </w:p>
          <w:p w14:paraId="6F1844D8" w14:textId="14D567DC"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Από τις συναλλαγές που αναφέρονται στο σημείο 2.6.8., τα πιστωτικά ιδρύματα αναφέρουν το σκέλος της εξασφάλισης που παρέχεται ως δάνειο το οποίο, αν δεν χρησιμοποιούνταν ως εξασφάλιση των εν λόγω </w:t>
            </w:r>
            <w:r>
              <w:rPr>
                <w:rFonts w:ascii="Times New Roman" w:hAnsi="Times New Roman"/>
                <w:sz w:val="24"/>
              </w:rPr>
              <w:lastRenderedPageBreak/>
              <w:t>συναλλαγών, θα μπορούσε να θεωρηθεί, σύμφωνα με το άρθρο 8 του κατ’ εξουσιοδότηση κανονισμού (ΕΕ) 2015/61, ως ρευστό στοιχείο ενεργητικού.</w:t>
            </w:r>
          </w:p>
        </w:tc>
      </w:tr>
      <w:tr w:rsidR="00B47B7D" w:rsidRPr="000B6B22" w14:paraId="7825583B" w14:textId="77777777" w:rsidTr="0039321F">
        <w:tc>
          <w:tcPr>
            <w:tcW w:w="703" w:type="dxa"/>
            <w:shd w:val="clear" w:color="auto" w:fill="auto"/>
            <w:vAlign w:val="center"/>
          </w:tcPr>
          <w:p w14:paraId="12BDF183" w14:textId="79E11E14" w:rsidR="00F71050" w:rsidRPr="000B6B22" w:rsidRDefault="008D0A41">
            <w:pPr>
              <w:spacing w:before="0"/>
              <w:rPr>
                <w:rFonts w:ascii="Times New Roman" w:eastAsia="PMingLiU" w:hAnsi="Times New Roman"/>
                <w:sz w:val="24"/>
              </w:rPr>
            </w:pPr>
            <w:r>
              <w:rPr>
                <w:rFonts w:ascii="Times New Roman" w:hAnsi="Times New Roman"/>
                <w:sz w:val="24"/>
              </w:rPr>
              <w:lastRenderedPageBreak/>
              <w:t>2400</w:t>
            </w:r>
          </w:p>
        </w:tc>
        <w:tc>
          <w:tcPr>
            <w:tcW w:w="7371" w:type="dxa"/>
            <w:shd w:val="clear" w:color="auto" w:fill="auto"/>
          </w:tcPr>
          <w:p w14:paraId="06B472BC" w14:textId="59FE0E74" w:rsidR="00F71050" w:rsidRPr="000B6B22" w:rsidRDefault="00F71050" w:rsidP="009D4EFF">
            <w:pPr>
              <w:spacing w:before="0"/>
              <w:ind w:left="-84"/>
              <w:rPr>
                <w:rFonts w:ascii="Times New Roman" w:eastAsia="PMingLiU" w:hAnsi="Times New Roman"/>
                <w:sz w:val="24"/>
              </w:rPr>
            </w:pPr>
            <w:r>
              <w:rPr>
                <w:rFonts w:ascii="Times New Roman" w:hAnsi="Times New Roman"/>
                <w:b/>
                <w:sz w:val="24"/>
              </w:rPr>
              <w:t>2.7. Σύνολα για συναλλαγές κατά τις οποίες άλλα στοιχεία ενεργητικού επιπέδου 2Β παρέχονται ως δάνειο και οι ακόλουθες εξασφαλίσεις λαμβάνονται ως δάνειο:</w:t>
            </w:r>
          </w:p>
          <w:p w14:paraId="53A24FD7" w14:textId="027D6670"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Άρθρο 28 παράγραφος 4 και άρθρο 32 παράγραφος 3 του κατ’ εξουσιοδότηση κανονισμού (ΕΕ) 2015/61</w:t>
            </w:r>
          </w:p>
          <w:p w14:paraId="6352BCE4" w14:textId="7A1C2619"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Τα πιστωτικά ιδρύματα αναφέρουν εδώ, για τις σχετικές στήλες, τις συνολικές αξίες των πράξεων ανταλλαγής εξασφαλίσεων για συναλλαγές κατά τις οποίες άλλα στοιχεία ενεργητικού επιπέδου 2Β παρέχονται ως δάνειο.</w:t>
            </w:r>
          </w:p>
        </w:tc>
      </w:tr>
      <w:tr w:rsidR="00B47B7D" w:rsidRPr="000B6B22" w14:paraId="5203ED11" w14:textId="77777777" w:rsidTr="0039321F">
        <w:tc>
          <w:tcPr>
            <w:tcW w:w="703" w:type="dxa"/>
            <w:shd w:val="clear" w:color="auto" w:fill="FFFFFF"/>
            <w:vAlign w:val="center"/>
          </w:tcPr>
          <w:p w14:paraId="4BB6D4BB" w14:textId="4C4BCC37" w:rsidR="00F71050" w:rsidRPr="000B6B22" w:rsidRDefault="008D0A41">
            <w:pPr>
              <w:spacing w:before="0"/>
              <w:rPr>
                <w:rFonts w:ascii="Times New Roman" w:eastAsia="PMingLiU" w:hAnsi="Times New Roman"/>
                <w:sz w:val="24"/>
              </w:rPr>
            </w:pPr>
            <w:r>
              <w:rPr>
                <w:rFonts w:ascii="Times New Roman" w:hAnsi="Times New Roman"/>
                <w:sz w:val="24"/>
              </w:rPr>
              <w:t>2410</w:t>
            </w:r>
          </w:p>
        </w:tc>
        <w:tc>
          <w:tcPr>
            <w:tcW w:w="7371" w:type="dxa"/>
            <w:shd w:val="clear" w:color="auto" w:fill="FFFFFF"/>
          </w:tcPr>
          <w:p w14:paraId="400BE92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2.7.1. Στοιχεία ενεργητικού επιπέδου 1 (εξαιρουμένων των ΕΥΠ καλυμμένων ομολόγων)</w:t>
            </w:r>
          </w:p>
          <w:p w14:paraId="38DB5977" w14:textId="6E785DA5"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άλλα στοιχεία επιπέδου 2Β (που παρέχονται ως δάνειο) με στοιχεία ενεργητικού επιπέδου 1 εξαιρουμένων των ΕΥΠ καλυμμένων ομολόγων (που λαμβάνονται ως δάνειο).</w:t>
            </w:r>
          </w:p>
        </w:tc>
      </w:tr>
      <w:tr w:rsidR="00B47B7D" w:rsidRPr="000B6B22" w14:paraId="3302808D" w14:textId="77777777" w:rsidTr="0039321F">
        <w:tc>
          <w:tcPr>
            <w:tcW w:w="703" w:type="dxa"/>
            <w:shd w:val="clear" w:color="auto" w:fill="FFFFFF"/>
            <w:vAlign w:val="center"/>
          </w:tcPr>
          <w:p w14:paraId="7BAA7FE9" w14:textId="12E64A00" w:rsidR="00F71050" w:rsidRPr="000B6B22" w:rsidRDefault="008D0A41">
            <w:pPr>
              <w:spacing w:before="0"/>
              <w:rPr>
                <w:rFonts w:ascii="Times New Roman" w:eastAsia="PMingLiU" w:hAnsi="Times New Roman"/>
                <w:sz w:val="24"/>
              </w:rPr>
            </w:pPr>
            <w:r>
              <w:rPr>
                <w:rFonts w:ascii="Times New Roman" w:hAnsi="Times New Roman"/>
                <w:sz w:val="24"/>
              </w:rPr>
              <w:t>2420</w:t>
            </w:r>
          </w:p>
        </w:tc>
        <w:tc>
          <w:tcPr>
            <w:tcW w:w="7371" w:type="dxa"/>
            <w:shd w:val="clear" w:color="auto" w:fill="FFFFFF"/>
          </w:tcPr>
          <w:p w14:paraId="56FA0C9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2.7.1.1. Των οποίων οι εξασφαλίσεις που ανταλλάσσονται πληρούν τις λειτουργικές απαιτήσεις</w:t>
            </w:r>
          </w:p>
          <w:p w14:paraId="7BA258D9" w14:textId="14B2D042"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2.7.1. τα πιστωτικά ιδρύματα αναφέρουν:</w:t>
            </w:r>
          </w:p>
          <w:p w14:paraId="45FE4019" w14:textId="1AAD8445"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παρέχεται ως δάνειο το οποίο,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51A49C06" w14:textId="0DB8125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34134B7D" w14:textId="77777777" w:rsidTr="0039321F">
        <w:tc>
          <w:tcPr>
            <w:tcW w:w="703" w:type="dxa"/>
            <w:shd w:val="clear" w:color="auto" w:fill="FFFFFF"/>
            <w:vAlign w:val="center"/>
          </w:tcPr>
          <w:p w14:paraId="020A6A0F" w14:textId="27B1AAAF" w:rsidR="00F71050" w:rsidRPr="000B6B22" w:rsidRDefault="008D0A41">
            <w:pPr>
              <w:spacing w:before="0"/>
              <w:rPr>
                <w:rFonts w:ascii="Times New Roman" w:eastAsia="PMingLiU" w:hAnsi="Times New Roman"/>
                <w:sz w:val="24"/>
              </w:rPr>
            </w:pPr>
            <w:r>
              <w:rPr>
                <w:rFonts w:ascii="Times New Roman" w:hAnsi="Times New Roman"/>
                <w:sz w:val="24"/>
              </w:rPr>
              <w:t>2430</w:t>
            </w:r>
          </w:p>
        </w:tc>
        <w:tc>
          <w:tcPr>
            <w:tcW w:w="7371" w:type="dxa"/>
            <w:shd w:val="clear" w:color="auto" w:fill="FFFFFF"/>
          </w:tcPr>
          <w:p w14:paraId="056A1743" w14:textId="69A3CA06"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2.7.2. Επιπέδου 1 εξαιρετικά υψηλής ποιότητας καλυμμένα ομόλογα</w:t>
            </w:r>
          </w:p>
          <w:p w14:paraId="0F39B64C" w14:textId="10E581D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άλλα στοιχεία επιπέδου 2Β (που παρέχονται ως δάνειο) με επιπέδου 1 εξαιρετικά υψηλής ποιότητας καλυμμένα ομόλογα (που λαμβάνονται ως δάνειο).</w:t>
            </w:r>
          </w:p>
        </w:tc>
      </w:tr>
      <w:tr w:rsidR="00B47B7D" w:rsidRPr="000B6B22" w14:paraId="0CBD6D96" w14:textId="77777777" w:rsidTr="0039321F">
        <w:tc>
          <w:tcPr>
            <w:tcW w:w="703" w:type="dxa"/>
            <w:shd w:val="clear" w:color="auto" w:fill="FFFFFF"/>
            <w:vAlign w:val="center"/>
          </w:tcPr>
          <w:p w14:paraId="6343D7FE" w14:textId="65EDB664" w:rsidR="00F71050" w:rsidRPr="000B6B22" w:rsidRDefault="008D0A41">
            <w:pPr>
              <w:spacing w:before="0"/>
              <w:rPr>
                <w:rFonts w:ascii="Times New Roman" w:eastAsia="PMingLiU" w:hAnsi="Times New Roman"/>
                <w:sz w:val="24"/>
              </w:rPr>
            </w:pPr>
            <w:r>
              <w:rPr>
                <w:rFonts w:ascii="Times New Roman" w:hAnsi="Times New Roman"/>
                <w:sz w:val="24"/>
              </w:rPr>
              <w:t>2440</w:t>
            </w:r>
          </w:p>
        </w:tc>
        <w:tc>
          <w:tcPr>
            <w:tcW w:w="7371" w:type="dxa"/>
            <w:shd w:val="clear" w:color="auto" w:fill="FFFFFF"/>
          </w:tcPr>
          <w:p w14:paraId="3CC2267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2.7.2.1. Των οποίων οι εξασφαλίσεις που ανταλλάσσονται πληρούν τις λειτουργικές απαιτήσεις</w:t>
            </w:r>
          </w:p>
          <w:p w14:paraId="6884678C" w14:textId="4FB32498"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2.7.2. τα πιστωτικά ιδρύματα αναφέρουν:</w:t>
            </w:r>
          </w:p>
          <w:p w14:paraId="25C11E00" w14:textId="268FAEFE"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παρέχεται ως δάνειο το οποίο,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706FD14D" w14:textId="7138FC9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5F8F6AC6" w14:textId="77777777" w:rsidTr="0039321F">
        <w:tc>
          <w:tcPr>
            <w:tcW w:w="703" w:type="dxa"/>
            <w:shd w:val="clear" w:color="auto" w:fill="FFFFFF"/>
            <w:vAlign w:val="center"/>
          </w:tcPr>
          <w:p w14:paraId="5A21DBA6" w14:textId="6B7B0AB8" w:rsidR="00F71050" w:rsidRPr="000B6B22" w:rsidRDefault="008D0A41">
            <w:pPr>
              <w:spacing w:before="0"/>
              <w:rPr>
                <w:rFonts w:ascii="Times New Roman" w:eastAsia="PMingLiU" w:hAnsi="Times New Roman"/>
                <w:sz w:val="24"/>
              </w:rPr>
            </w:pPr>
            <w:r>
              <w:rPr>
                <w:rFonts w:ascii="Times New Roman" w:hAnsi="Times New Roman"/>
                <w:sz w:val="24"/>
              </w:rPr>
              <w:lastRenderedPageBreak/>
              <w:t>2450</w:t>
            </w:r>
          </w:p>
        </w:tc>
        <w:tc>
          <w:tcPr>
            <w:tcW w:w="7371" w:type="dxa"/>
            <w:shd w:val="clear" w:color="auto" w:fill="FFFFFF"/>
          </w:tcPr>
          <w:p w14:paraId="3931076B" w14:textId="323F478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2.7.3. Στοιχεία ενεργητικού επιπέδου 2Α</w:t>
            </w:r>
          </w:p>
          <w:p w14:paraId="0D5DB903" w14:textId="65FC040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άλλα στοιχεία επιπέδου 2Β (που παρέχονται ως δάνειο) με στοιχεία ενεργητικού επιπέδου 2Α (που λαμβάνονται ως δάνειο).</w:t>
            </w:r>
          </w:p>
        </w:tc>
      </w:tr>
      <w:tr w:rsidR="00B47B7D" w:rsidRPr="000B6B22" w14:paraId="3D2FD04C" w14:textId="77777777" w:rsidTr="0039321F">
        <w:tc>
          <w:tcPr>
            <w:tcW w:w="703" w:type="dxa"/>
            <w:shd w:val="clear" w:color="auto" w:fill="FFFFFF"/>
            <w:vAlign w:val="center"/>
          </w:tcPr>
          <w:p w14:paraId="1C002119" w14:textId="6A57205D" w:rsidR="00F71050" w:rsidRPr="000B6B22" w:rsidRDefault="008D0A41">
            <w:pPr>
              <w:spacing w:before="0"/>
              <w:rPr>
                <w:rFonts w:ascii="Times New Roman" w:eastAsia="PMingLiU" w:hAnsi="Times New Roman"/>
                <w:sz w:val="24"/>
              </w:rPr>
            </w:pPr>
            <w:r>
              <w:rPr>
                <w:rFonts w:ascii="Times New Roman" w:hAnsi="Times New Roman"/>
                <w:sz w:val="24"/>
              </w:rPr>
              <w:t>2460</w:t>
            </w:r>
          </w:p>
        </w:tc>
        <w:tc>
          <w:tcPr>
            <w:tcW w:w="7371" w:type="dxa"/>
            <w:shd w:val="clear" w:color="auto" w:fill="FFFFFF"/>
          </w:tcPr>
          <w:p w14:paraId="4C027687"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2.7.3.1. Των οποίων οι εξασφαλίσεις που ανταλλάσσονται πληρούν τις λειτουργικές απαιτήσεις</w:t>
            </w:r>
          </w:p>
          <w:p w14:paraId="12F74441" w14:textId="10346C79"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2.7.3. τα πιστωτικά ιδρύματα αναφέρουν:</w:t>
            </w:r>
          </w:p>
          <w:p w14:paraId="74E28EB0" w14:textId="46321A33"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παρέχεται ως δάνειο το οποίο,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49C24722" w14:textId="0B23F1D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5F54B96A" w14:textId="77777777" w:rsidTr="0039321F">
        <w:tc>
          <w:tcPr>
            <w:tcW w:w="703" w:type="dxa"/>
            <w:shd w:val="clear" w:color="auto" w:fill="FFFFFF"/>
            <w:vAlign w:val="center"/>
          </w:tcPr>
          <w:p w14:paraId="6E56D17E" w14:textId="2B8182CD" w:rsidR="00F71050" w:rsidRPr="000B6B22" w:rsidRDefault="008D0A41">
            <w:pPr>
              <w:spacing w:before="0"/>
              <w:rPr>
                <w:rFonts w:ascii="Times New Roman" w:eastAsia="PMingLiU" w:hAnsi="Times New Roman"/>
                <w:sz w:val="24"/>
              </w:rPr>
            </w:pPr>
            <w:r>
              <w:rPr>
                <w:rFonts w:ascii="Times New Roman" w:hAnsi="Times New Roman"/>
                <w:sz w:val="24"/>
              </w:rPr>
              <w:t>2470</w:t>
            </w:r>
          </w:p>
        </w:tc>
        <w:tc>
          <w:tcPr>
            <w:tcW w:w="7371" w:type="dxa"/>
            <w:shd w:val="clear" w:color="auto" w:fill="FFFFFF"/>
          </w:tcPr>
          <w:p w14:paraId="58511943" w14:textId="7D02953B"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2.7.4. Επιπέδου 2Β τίτλοι από τιτλοποίηση (στεγαστικά δάνεια ή δάνεια για αγορά αυτοκινήτου, ΒΠΠ1)</w:t>
            </w:r>
          </w:p>
          <w:p w14:paraId="37A8BC83" w14:textId="691AA19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άλλα στοιχεία επιπέδου 2Β (που παρέχονται ως δάνειο) με τίτλους από τιτλοποίηση επιπέδου 2Β (στεγαστικά δάνεια ή δάνεια αγοράς αυτοκινήτου, ΒΠΠ1) (που λαμβάνονται ως δάνειο).</w:t>
            </w:r>
          </w:p>
        </w:tc>
      </w:tr>
      <w:tr w:rsidR="00B47B7D" w:rsidRPr="000B6B22" w14:paraId="5F1D1D36" w14:textId="77777777" w:rsidTr="0039321F">
        <w:tc>
          <w:tcPr>
            <w:tcW w:w="703" w:type="dxa"/>
            <w:shd w:val="clear" w:color="auto" w:fill="FFFFFF"/>
            <w:vAlign w:val="center"/>
          </w:tcPr>
          <w:p w14:paraId="505A10D1" w14:textId="2283C558" w:rsidR="00F71050" w:rsidRPr="000B6B22" w:rsidRDefault="008D0A41">
            <w:pPr>
              <w:spacing w:before="0"/>
              <w:rPr>
                <w:rFonts w:ascii="Times New Roman" w:eastAsia="PMingLiU" w:hAnsi="Times New Roman"/>
                <w:sz w:val="24"/>
              </w:rPr>
            </w:pPr>
            <w:r>
              <w:rPr>
                <w:rFonts w:ascii="Times New Roman" w:hAnsi="Times New Roman"/>
                <w:sz w:val="24"/>
              </w:rPr>
              <w:t>2480</w:t>
            </w:r>
          </w:p>
        </w:tc>
        <w:tc>
          <w:tcPr>
            <w:tcW w:w="7371" w:type="dxa"/>
            <w:shd w:val="clear" w:color="auto" w:fill="FFFFFF"/>
          </w:tcPr>
          <w:p w14:paraId="2A43FEB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2.7.4.1. Των οποίων οι εξασφαλίσεις που ανταλλάσσονται πληρούν τις λειτουργικές απαιτήσεις</w:t>
            </w:r>
          </w:p>
          <w:p w14:paraId="795E7E55" w14:textId="3DB510B1"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2.7.4. τα πιστωτικά ιδρύματα αναφέρουν:</w:t>
            </w:r>
          </w:p>
          <w:p w14:paraId="55FC2AF5" w14:textId="664E280C"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παρέχεται ως δάνειο το οποίο,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5E257C44" w14:textId="5F6334B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630199F8" w14:textId="77777777" w:rsidTr="0039321F">
        <w:tc>
          <w:tcPr>
            <w:tcW w:w="703" w:type="dxa"/>
            <w:shd w:val="clear" w:color="auto" w:fill="FFFFFF"/>
            <w:vAlign w:val="center"/>
          </w:tcPr>
          <w:p w14:paraId="7AF678A8" w14:textId="343696C3" w:rsidR="00F71050" w:rsidRPr="000B6B22" w:rsidRDefault="008D0A41">
            <w:pPr>
              <w:spacing w:before="0"/>
              <w:rPr>
                <w:rFonts w:ascii="Times New Roman" w:eastAsia="PMingLiU" w:hAnsi="Times New Roman"/>
                <w:sz w:val="24"/>
              </w:rPr>
            </w:pPr>
            <w:r>
              <w:rPr>
                <w:rFonts w:ascii="Times New Roman" w:hAnsi="Times New Roman"/>
                <w:sz w:val="24"/>
              </w:rPr>
              <w:t>2490</w:t>
            </w:r>
          </w:p>
        </w:tc>
        <w:tc>
          <w:tcPr>
            <w:tcW w:w="7371" w:type="dxa"/>
            <w:shd w:val="clear" w:color="auto" w:fill="FFFFFF"/>
          </w:tcPr>
          <w:p w14:paraId="29742683" w14:textId="7BEA40F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2.7.5. Επιπέδου 2Β υψηλής ποιότητας καλυμμένα ομόλογα</w:t>
            </w:r>
          </w:p>
          <w:p w14:paraId="6D6BFE24" w14:textId="462D3C3D"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άλλα στοιχεία επιπέδου 2Β (που παρέχονται ως δάνειο) με υψηλής ποιότητας καλυμμένα ομόλογα επιπέδου 2Β (που λαμβάνονται ως δάνειο).</w:t>
            </w:r>
          </w:p>
        </w:tc>
      </w:tr>
      <w:tr w:rsidR="00B47B7D" w:rsidRPr="000B6B22" w14:paraId="30F706C2" w14:textId="77777777" w:rsidTr="0039321F">
        <w:tc>
          <w:tcPr>
            <w:tcW w:w="703" w:type="dxa"/>
            <w:shd w:val="clear" w:color="auto" w:fill="FFFFFF"/>
            <w:vAlign w:val="center"/>
          </w:tcPr>
          <w:p w14:paraId="4F7CB8B4" w14:textId="2D428FDB" w:rsidR="00F71050" w:rsidRPr="000B6B22" w:rsidRDefault="008D0A41">
            <w:pPr>
              <w:spacing w:before="0"/>
              <w:rPr>
                <w:rFonts w:ascii="Times New Roman" w:eastAsia="PMingLiU" w:hAnsi="Times New Roman"/>
                <w:sz w:val="24"/>
              </w:rPr>
            </w:pPr>
            <w:r>
              <w:rPr>
                <w:rFonts w:ascii="Times New Roman" w:hAnsi="Times New Roman"/>
                <w:sz w:val="24"/>
              </w:rPr>
              <w:t>2500</w:t>
            </w:r>
          </w:p>
        </w:tc>
        <w:tc>
          <w:tcPr>
            <w:tcW w:w="7371" w:type="dxa"/>
            <w:shd w:val="clear" w:color="auto" w:fill="FFFFFF"/>
          </w:tcPr>
          <w:p w14:paraId="7EC6A3A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2.7.5.1. Των οποίων οι εξασφαλίσεις που ανταλλάσσονται πληρούν τις λειτουργικές απαιτήσεις</w:t>
            </w:r>
          </w:p>
          <w:p w14:paraId="1E5CE725" w14:textId="506CBC70"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2.7.5. τα πιστωτικά ιδρύματα αναφέρουν:</w:t>
            </w:r>
          </w:p>
          <w:p w14:paraId="7115B946" w14:textId="7685EB14"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το σκέλος της εξασφάλισης που παρέχεται ως δάνειο το οποίο, αν δεν χρησιμοποιούνταν ως εξασφάλιση των εν λόγω συναλλαγών, θα μπορούσε </w:t>
            </w:r>
            <w:r>
              <w:rPr>
                <w:rFonts w:ascii="Times New Roman" w:hAnsi="Times New Roman"/>
                <w:sz w:val="24"/>
              </w:rPr>
              <w:lastRenderedPageBreak/>
              <w:t>να θεωρηθεί, σύμφωνα με το άρθρο 8 του κατ’ εξουσιοδότηση κανονισμού (ΕΕ) 2015/61, ως ρευστό στοιχείο ενεργητικού· και</w:t>
            </w:r>
          </w:p>
          <w:p w14:paraId="4AD037BC" w14:textId="0A9848A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1D684A24" w14:textId="77777777" w:rsidTr="0039321F">
        <w:tc>
          <w:tcPr>
            <w:tcW w:w="703" w:type="dxa"/>
            <w:shd w:val="clear" w:color="auto" w:fill="FFFFFF"/>
            <w:vAlign w:val="center"/>
          </w:tcPr>
          <w:p w14:paraId="0FCB03B1" w14:textId="6D95964E" w:rsidR="00F71050" w:rsidRPr="000B6B22" w:rsidRDefault="008D0A41">
            <w:pPr>
              <w:spacing w:before="0"/>
              <w:rPr>
                <w:rFonts w:ascii="Times New Roman" w:eastAsia="PMingLiU" w:hAnsi="Times New Roman"/>
                <w:sz w:val="24"/>
              </w:rPr>
            </w:pPr>
            <w:r>
              <w:rPr>
                <w:rFonts w:ascii="Times New Roman" w:hAnsi="Times New Roman"/>
                <w:sz w:val="24"/>
              </w:rPr>
              <w:lastRenderedPageBreak/>
              <w:t>2510</w:t>
            </w:r>
          </w:p>
        </w:tc>
        <w:tc>
          <w:tcPr>
            <w:tcW w:w="7371" w:type="dxa"/>
            <w:shd w:val="clear" w:color="auto" w:fill="FFFFFF"/>
          </w:tcPr>
          <w:p w14:paraId="4F18187E" w14:textId="0F2878E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2.7.6. Επιπέδου 2Β τίτλοι από τιτλοποίηση (εμπορικά δάνεια ή δάνεια σε ιδιώτες, κράτος μέλος, ΒΠΠ1)</w:t>
            </w:r>
          </w:p>
          <w:p w14:paraId="75A03042" w14:textId="521DA8F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άλλα στοιχεία επιπέδου 2Β (που παρέχονται ως δάνειο) με τίτλους από τιτλοποίηση επιπέδου 2Β (εμπορικά δάνεια ή δάνεια σε ιδιώτες, κράτος μέλος, ΒΠΠ1) (που λαμβάνονται ως δάνειο).</w:t>
            </w:r>
          </w:p>
        </w:tc>
      </w:tr>
      <w:tr w:rsidR="00B47B7D" w:rsidRPr="000B6B22" w14:paraId="6BB57182" w14:textId="77777777" w:rsidTr="0039321F">
        <w:tc>
          <w:tcPr>
            <w:tcW w:w="703" w:type="dxa"/>
            <w:shd w:val="clear" w:color="auto" w:fill="FFFFFF"/>
            <w:vAlign w:val="center"/>
          </w:tcPr>
          <w:p w14:paraId="44F10BCA" w14:textId="1EB40EB2" w:rsidR="00F71050" w:rsidRPr="000B6B22" w:rsidRDefault="008D0A41">
            <w:pPr>
              <w:spacing w:before="0"/>
              <w:rPr>
                <w:rFonts w:ascii="Times New Roman" w:eastAsia="PMingLiU" w:hAnsi="Times New Roman"/>
                <w:sz w:val="24"/>
              </w:rPr>
            </w:pPr>
            <w:r>
              <w:rPr>
                <w:rFonts w:ascii="Times New Roman" w:hAnsi="Times New Roman"/>
                <w:sz w:val="24"/>
              </w:rPr>
              <w:t>2520</w:t>
            </w:r>
          </w:p>
        </w:tc>
        <w:tc>
          <w:tcPr>
            <w:tcW w:w="7371" w:type="dxa"/>
            <w:shd w:val="clear" w:color="auto" w:fill="FFFFFF"/>
          </w:tcPr>
          <w:p w14:paraId="6E5E0D8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2.7.6.1. Των οποίων οι εξασφαλίσεις που ανταλλάσσονται πληρούν τις λειτουργικές απαιτήσεις</w:t>
            </w:r>
          </w:p>
          <w:p w14:paraId="143B1F16" w14:textId="3A4A9C99"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2.7.6. τα πιστωτικά ιδρύματα αναφέρουν:</w:t>
            </w:r>
          </w:p>
          <w:p w14:paraId="1EA5D3D8" w14:textId="56E6E64A"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παρέχεται ως δάνειο το οποίο,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163AE024" w14:textId="731D7C5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3AA69F98" w14:textId="77777777" w:rsidTr="0039321F">
        <w:tc>
          <w:tcPr>
            <w:tcW w:w="703" w:type="dxa"/>
            <w:shd w:val="clear" w:color="auto" w:fill="FFFFFF"/>
            <w:vAlign w:val="center"/>
          </w:tcPr>
          <w:p w14:paraId="2AD07D6B" w14:textId="7CA48CEA" w:rsidR="00F71050" w:rsidRPr="000B6B22" w:rsidRDefault="008D0A41">
            <w:pPr>
              <w:spacing w:before="0"/>
              <w:rPr>
                <w:rFonts w:ascii="Times New Roman" w:eastAsia="PMingLiU" w:hAnsi="Times New Roman"/>
                <w:sz w:val="24"/>
              </w:rPr>
            </w:pPr>
            <w:r>
              <w:rPr>
                <w:rFonts w:ascii="Times New Roman" w:hAnsi="Times New Roman"/>
                <w:sz w:val="24"/>
              </w:rPr>
              <w:t>2530</w:t>
            </w:r>
          </w:p>
        </w:tc>
        <w:tc>
          <w:tcPr>
            <w:tcW w:w="7371" w:type="dxa"/>
            <w:shd w:val="clear" w:color="auto" w:fill="FFFFFF"/>
          </w:tcPr>
          <w:p w14:paraId="05EC1351" w14:textId="4D375504"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2.7.7. Άλλα στοιχεία ενεργητικού επιπέδου 2Β</w:t>
            </w:r>
          </w:p>
          <w:p w14:paraId="41DC4743" w14:textId="55B7F67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άλλα στοιχεία επιπέδου 2Β (που παρέχονται ως δάνειο) με άλλα στοιχεία επιπέδου 2Β (που λαμβάνονται ως δάνειο).</w:t>
            </w:r>
          </w:p>
        </w:tc>
      </w:tr>
      <w:tr w:rsidR="00B47B7D" w:rsidRPr="000B6B22" w14:paraId="2DB5E669" w14:textId="77777777" w:rsidTr="0039321F">
        <w:tc>
          <w:tcPr>
            <w:tcW w:w="703" w:type="dxa"/>
            <w:shd w:val="clear" w:color="auto" w:fill="FFFFFF"/>
            <w:vAlign w:val="center"/>
          </w:tcPr>
          <w:p w14:paraId="25456449" w14:textId="4FBEED6F" w:rsidR="00F71050" w:rsidRPr="000B6B22" w:rsidRDefault="008D0A41">
            <w:pPr>
              <w:spacing w:before="0"/>
              <w:rPr>
                <w:rFonts w:ascii="Times New Roman" w:eastAsia="PMingLiU" w:hAnsi="Times New Roman"/>
                <w:sz w:val="24"/>
              </w:rPr>
            </w:pPr>
            <w:r>
              <w:rPr>
                <w:rFonts w:ascii="Times New Roman" w:hAnsi="Times New Roman"/>
                <w:sz w:val="24"/>
              </w:rPr>
              <w:t>2540</w:t>
            </w:r>
          </w:p>
        </w:tc>
        <w:tc>
          <w:tcPr>
            <w:tcW w:w="7371" w:type="dxa"/>
            <w:shd w:val="clear" w:color="auto" w:fill="FFFFFF"/>
          </w:tcPr>
          <w:p w14:paraId="722504B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2.7.7.1. Των οποίων οι εξασφαλίσεις που ανταλλάσσονται πληρούν τις λειτουργικές απαιτήσεις</w:t>
            </w:r>
          </w:p>
          <w:p w14:paraId="7E7F8E0C" w14:textId="0D771AB6"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2.7.7. τα πιστωτικά ιδρύματα αναφέρουν:</w:t>
            </w:r>
          </w:p>
          <w:p w14:paraId="11F4FDFE" w14:textId="2D4865AD"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παρέχεται ως δάνειο το οποίο,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434AF56B" w14:textId="4D71621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101341A9" w14:textId="77777777" w:rsidTr="0039321F">
        <w:tc>
          <w:tcPr>
            <w:tcW w:w="703" w:type="dxa"/>
            <w:shd w:val="clear" w:color="auto" w:fill="FFFFFF"/>
            <w:vAlign w:val="center"/>
          </w:tcPr>
          <w:p w14:paraId="36550A22" w14:textId="6AA7A20C" w:rsidR="00F71050" w:rsidRPr="000B6B22" w:rsidRDefault="008D0A41">
            <w:pPr>
              <w:spacing w:before="0"/>
              <w:rPr>
                <w:rFonts w:ascii="Times New Roman" w:eastAsia="PMingLiU" w:hAnsi="Times New Roman"/>
                <w:sz w:val="24"/>
              </w:rPr>
            </w:pPr>
            <w:r>
              <w:rPr>
                <w:rFonts w:ascii="Times New Roman" w:hAnsi="Times New Roman"/>
                <w:sz w:val="24"/>
              </w:rPr>
              <w:t>2550</w:t>
            </w:r>
          </w:p>
        </w:tc>
        <w:tc>
          <w:tcPr>
            <w:tcW w:w="7371" w:type="dxa"/>
            <w:shd w:val="clear" w:color="auto" w:fill="FFFFFF"/>
          </w:tcPr>
          <w:p w14:paraId="777298D5"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2.7.8. Μη ρευστά στοιχεία ενεργητικού</w:t>
            </w:r>
          </w:p>
          <w:p w14:paraId="6C0ED521" w14:textId="1661558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άλλα στοιχεία επιπέδου 2Β (που παρέχονται ως δάνειο) με μη ρευστά στοιχεία ενεργητικού (που λαμβάνονται ως δάνειο).</w:t>
            </w:r>
          </w:p>
        </w:tc>
      </w:tr>
      <w:tr w:rsidR="00B47B7D" w:rsidRPr="000B6B22" w14:paraId="6B7800AF" w14:textId="77777777" w:rsidTr="0039321F">
        <w:tc>
          <w:tcPr>
            <w:tcW w:w="703" w:type="dxa"/>
            <w:shd w:val="clear" w:color="auto" w:fill="auto"/>
            <w:vAlign w:val="center"/>
          </w:tcPr>
          <w:p w14:paraId="4DCAAECF" w14:textId="3C00A7B0" w:rsidR="00F71050" w:rsidRPr="000B6B22" w:rsidRDefault="008D0A41">
            <w:pPr>
              <w:spacing w:before="0"/>
              <w:rPr>
                <w:rFonts w:ascii="Times New Roman" w:eastAsia="PMingLiU" w:hAnsi="Times New Roman"/>
                <w:sz w:val="24"/>
              </w:rPr>
            </w:pPr>
            <w:r>
              <w:rPr>
                <w:rFonts w:ascii="Times New Roman" w:hAnsi="Times New Roman"/>
                <w:sz w:val="24"/>
              </w:rPr>
              <w:t>2560</w:t>
            </w:r>
          </w:p>
        </w:tc>
        <w:tc>
          <w:tcPr>
            <w:tcW w:w="7371" w:type="dxa"/>
            <w:shd w:val="clear" w:color="auto" w:fill="auto"/>
          </w:tcPr>
          <w:p w14:paraId="73A120C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2.7.8.1. Των οποίων οι εξασφαλίσεις που ανταλλάσσονται πληρούν τις λειτουργικές απαιτήσεις</w:t>
            </w:r>
          </w:p>
          <w:p w14:paraId="45D08480" w14:textId="2F1BD7A4"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lastRenderedPageBreak/>
              <w:t>Από τις συναλλαγές που αναφέρονται στο σημείο 2.7.8., τα πιστωτικά ιδρύματα αναφέρουν το σκέλος της εξασφάλισης που παρέχεται ως δάνειο το οποίο, αν δεν χρησιμοποιούνταν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w:t>
            </w:r>
          </w:p>
        </w:tc>
      </w:tr>
      <w:tr w:rsidR="00B47B7D" w:rsidRPr="000B6B22" w14:paraId="5C264B05" w14:textId="77777777" w:rsidTr="0039321F">
        <w:tc>
          <w:tcPr>
            <w:tcW w:w="703" w:type="dxa"/>
            <w:shd w:val="clear" w:color="auto" w:fill="auto"/>
            <w:vAlign w:val="center"/>
          </w:tcPr>
          <w:p w14:paraId="75BF1FC6" w14:textId="002DD20C" w:rsidR="00F71050" w:rsidRPr="000B6B22" w:rsidRDefault="008D0A41">
            <w:pPr>
              <w:spacing w:before="0"/>
              <w:rPr>
                <w:rFonts w:ascii="Times New Roman" w:eastAsia="PMingLiU" w:hAnsi="Times New Roman"/>
                <w:sz w:val="24"/>
              </w:rPr>
            </w:pPr>
            <w:r>
              <w:rPr>
                <w:rFonts w:ascii="Times New Roman" w:hAnsi="Times New Roman"/>
                <w:sz w:val="24"/>
              </w:rPr>
              <w:lastRenderedPageBreak/>
              <w:t>2570</w:t>
            </w:r>
          </w:p>
        </w:tc>
        <w:tc>
          <w:tcPr>
            <w:tcW w:w="7371" w:type="dxa"/>
            <w:shd w:val="clear" w:color="auto" w:fill="auto"/>
          </w:tcPr>
          <w:p w14:paraId="7BA84D22" w14:textId="5A2C8B1D" w:rsidR="00F71050" w:rsidRPr="000B6B22" w:rsidRDefault="00F71050" w:rsidP="009D4EFF">
            <w:pPr>
              <w:spacing w:before="0"/>
              <w:ind w:left="-84"/>
              <w:rPr>
                <w:rFonts w:ascii="Times New Roman" w:eastAsia="PMingLiU" w:hAnsi="Times New Roman"/>
                <w:sz w:val="24"/>
              </w:rPr>
            </w:pPr>
            <w:r>
              <w:rPr>
                <w:rFonts w:ascii="Times New Roman" w:hAnsi="Times New Roman"/>
                <w:b/>
                <w:sz w:val="24"/>
              </w:rPr>
              <w:t>2.8. Σύνολα συναλλαγών κατά τις οποίες μη ρευστά στοιχεία ενεργητικού παρέχονται ως δάνειο και οι ακόλουθες εξασφαλίσεις λαμβάνονται ως δάνειο:</w:t>
            </w:r>
          </w:p>
          <w:p w14:paraId="68540829" w14:textId="79E1BDE2" w:rsidR="00F71050" w:rsidRPr="00D638D6" w:rsidRDefault="00F71050" w:rsidP="009D4EFF">
            <w:pPr>
              <w:spacing w:before="0"/>
              <w:ind w:left="-84"/>
              <w:rPr>
                <w:rFonts w:ascii="Times New Roman" w:eastAsia="PMingLiU" w:hAnsi="Times New Roman"/>
                <w:bCs/>
                <w:sz w:val="24"/>
              </w:rPr>
            </w:pPr>
            <w:r>
              <w:rPr>
                <w:rFonts w:ascii="Times New Roman" w:hAnsi="Times New Roman"/>
                <w:sz w:val="24"/>
              </w:rPr>
              <w:t>Άρθρο 28 παράγραφος 4 και άρθρο 32 παράγραφος 3 του κατ’ εξουσιοδότηση κανονισμού (ΕΕ) 2015/61</w:t>
            </w:r>
          </w:p>
          <w:p w14:paraId="30E1A93D" w14:textId="4E8BC510"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Τα πιστωτικά ιδρύματα αναφέρουν εδώ, για τις σχετικές στήλες, τις συνολικές αξίες των πράξεων ανταλλαγής εξασφαλίσεων για συναλλαγές κατά τις οποίες μη ρευστά στοιχεία ενεργητικού παρέχονται ως δάνειο.</w:t>
            </w:r>
          </w:p>
        </w:tc>
      </w:tr>
      <w:tr w:rsidR="00B47B7D" w:rsidRPr="000B6B22" w14:paraId="27C5F9F2" w14:textId="77777777" w:rsidTr="0039321F">
        <w:tc>
          <w:tcPr>
            <w:tcW w:w="703" w:type="dxa"/>
            <w:shd w:val="clear" w:color="auto" w:fill="FFFFFF"/>
            <w:vAlign w:val="center"/>
          </w:tcPr>
          <w:p w14:paraId="4418F20E" w14:textId="78DFD84B" w:rsidR="00F71050" w:rsidRPr="000B6B22" w:rsidRDefault="008D0A41">
            <w:pPr>
              <w:spacing w:before="0"/>
              <w:rPr>
                <w:rFonts w:ascii="Times New Roman" w:eastAsia="PMingLiU" w:hAnsi="Times New Roman"/>
                <w:sz w:val="24"/>
              </w:rPr>
            </w:pPr>
            <w:r>
              <w:rPr>
                <w:rFonts w:ascii="Times New Roman" w:hAnsi="Times New Roman"/>
                <w:sz w:val="24"/>
              </w:rPr>
              <w:t>2580</w:t>
            </w:r>
          </w:p>
        </w:tc>
        <w:tc>
          <w:tcPr>
            <w:tcW w:w="7371" w:type="dxa"/>
            <w:shd w:val="clear" w:color="auto" w:fill="FFFFFF"/>
          </w:tcPr>
          <w:p w14:paraId="0C0AEAD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2.8.1. Στοιχεία ενεργητικού επιπέδου 1 (εξαιρουμένων των ΕΥΠ καλυμμένων ομολόγων)</w:t>
            </w:r>
          </w:p>
          <w:p w14:paraId="6472EB9E" w14:textId="0D26A697"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μη ρευστά στοιχεία ενεργητικού (που παρέχονται ως δάνειο) με στοιχεία ενεργητικού επιπέδου 1 εξαιρουμένων των ΕΥΠ καλυμμένων ομολόγων (που λαμβάνονται ως δάνειο).</w:t>
            </w:r>
          </w:p>
        </w:tc>
      </w:tr>
      <w:tr w:rsidR="00B47B7D" w:rsidRPr="000B6B22" w14:paraId="7380E6B6" w14:textId="77777777" w:rsidTr="0039321F">
        <w:tc>
          <w:tcPr>
            <w:tcW w:w="703" w:type="dxa"/>
            <w:shd w:val="clear" w:color="auto" w:fill="FFFFFF"/>
            <w:vAlign w:val="center"/>
          </w:tcPr>
          <w:p w14:paraId="711281D1" w14:textId="3E79AF75" w:rsidR="00F71050" w:rsidRPr="000B6B22" w:rsidRDefault="008D0A41">
            <w:pPr>
              <w:spacing w:before="0"/>
              <w:rPr>
                <w:rFonts w:ascii="Times New Roman" w:eastAsia="PMingLiU" w:hAnsi="Times New Roman"/>
                <w:sz w:val="24"/>
              </w:rPr>
            </w:pPr>
            <w:r>
              <w:rPr>
                <w:rFonts w:ascii="Times New Roman" w:hAnsi="Times New Roman"/>
                <w:sz w:val="24"/>
              </w:rPr>
              <w:t>2590</w:t>
            </w:r>
          </w:p>
        </w:tc>
        <w:tc>
          <w:tcPr>
            <w:tcW w:w="7371" w:type="dxa"/>
            <w:shd w:val="clear" w:color="auto" w:fill="FFFFFF"/>
          </w:tcPr>
          <w:p w14:paraId="6E0B250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2.8.1.1. Των οποίων οι εξασφαλίσεις που ανταλλάσσονται πληρούν τις λειτουργικές απαιτήσεις</w:t>
            </w:r>
          </w:p>
          <w:p w14:paraId="602E83BE" w14:textId="1ED1A076"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Από τις συναλλαγές που αναφέρονται στο σημείο 2.8.1., τα πιστωτικά ιδρύματα αναφέρουν 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1BD6E858" w14:textId="77777777" w:rsidTr="0039321F">
        <w:tc>
          <w:tcPr>
            <w:tcW w:w="703" w:type="dxa"/>
            <w:shd w:val="clear" w:color="auto" w:fill="FFFFFF"/>
            <w:vAlign w:val="center"/>
          </w:tcPr>
          <w:p w14:paraId="331FDA64" w14:textId="5D4CE741" w:rsidR="00F71050" w:rsidRPr="000B6B22" w:rsidRDefault="008D0A41">
            <w:pPr>
              <w:spacing w:before="0"/>
              <w:rPr>
                <w:rFonts w:ascii="Times New Roman" w:eastAsia="PMingLiU" w:hAnsi="Times New Roman"/>
                <w:sz w:val="24"/>
              </w:rPr>
            </w:pPr>
            <w:r>
              <w:rPr>
                <w:rFonts w:ascii="Times New Roman" w:hAnsi="Times New Roman"/>
                <w:sz w:val="24"/>
              </w:rPr>
              <w:t>2600</w:t>
            </w:r>
          </w:p>
        </w:tc>
        <w:tc>
          <w:tcPr>
            <w:tcW w:w="7371" w:type="dxa"/>
            <w:shd w:val="clear" w:color="auto" w:fill="FFFFFF"/>
          </w:tcPr>
          <w:p w14:paraId="61084C66" w14:textId="6B058BC8"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2.8.2. Επιπέδου 1 εξαιρετικά υψηλής ποιότητας καλυμμένα ομόλογα</w:t>
            </w:r>
          </w:p>
          <w:p w14:paraId="27E1C889" w14:textId="2CB2FA31"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Συναλλαγές κατά τις οποίες το ίδρυμα έχει ανταλλάξει μη ρευστά στοιχεία ενεργητικού (που παρέχονται ως δάνειο) με επιπέδου 1 εξαιρετικά υψηλής ποιότητας καλυμμένα ομόλογα (που λαμβάνονται ως δάνειο).</w:t>
            </w:r>
          </w:p>
        </w:tc>
      </w:tr>
      <w:tr w:rsidR="00B47B7D" w:rsidRPr="000B6B22" w14:paraId="71B073E7" w14:textId="77777777" w:rsidTr="0039321F">
        <w:tc>
          <w:tcPr>
            <w:tcW w:w="703" w:type="dxa"/>
            <w:shd w:val="clear" w:color="auto" w:fill="FFFFFF"/>
            <w:vAlign w:val="center"/>
          </w:tcPr>
          <w:p w14:paraId="1E9C30C4" w14:textId="6A509AF4" w:rsidR="00F71050" w:rsidRPr="000B6B22" w:rsidRDefault="008D0A41">
            <w:pPr>
              <w:spacing w:before="0"/>
              <w:rPr>
                <w:rFonts w:ascii="Times New Roman" w:eastAsia="PMingLiU" w:hAnsi="Times New Roman"/>
                <w:sz w:val="24"/>
              </w:rPr>
            </w:pPr>
            <w:r>
              <w:rPr>
                <w:rFonts w:ascii="Times New Roman" w:hAnsi="Times New Roman"/>
                <w:sz w:val="24"/>
              </w:rPr>
              <w:t>2610</w:t>
            </w:r>
          </w:p>
        </w:tc>
        <w:tc>
          <w:tcPr>
            <w:tcW w:w="7371" w:type="dxa"/>
            <w:shd w:val="clear" w:color="auto" w:fill="FFFFFF"/>
          </w:tcPr>
          <w:p w14:paraId="641B319E" w14:textId="693500DE"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2.8.2.1. Των οποίων οι εξασφαλίσεις που ανταλλάσσονται πληρούν τις λειτουργικές απαιτήσεις</w:t>
            </w:r>
          </w:p>
          <w:p w14:paraId="212A5FF8" w14:textId="316F2109"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Από τις συναλλαγές που αναφέρονται στο σημείο 2.8.2., τα πιστωτικά ιδρύματα αναφέρουν 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7C89D1FF" w14:textId="77777777" w:rsidTr="0039321F">
        <w:tc>
          <w:tcPr>
            <w:tcW w:w="703" w:type="dxa"/>
            <w:shd w:val="clear" w:color="auto" w:fill="FFFFFF"/>
            <w:vAlign w:val="center"/>
          </w:tcPr>
          <w:p w14:paraId="195B485A" w14:textId="31556386" w:rsidR="00F71050" w:rsidRPr="000B6B22" w:rsidRDefault="008D0A41">
            <w:pPr>
              <w:spacing w:before="0"/>
              <w:rPr>
                <w:rFonts w:ascii="Times New Roman" w:eastAsia="PMingLiU" w:hAnsi="Times New Roman"/>
                <w:sz w:val="24"/>
              </w:rPr>
            </w:pPr>
            <w:r>
              <w:rPr>
                <w:rFonts w:ascii="Times New Roman" w:hAnsi="Times New Roman"/>
                <w:sz w:val="24"/>
              </w:rPr>
              <w:t>2620</w:t>
            </w:r>
          </w:p>
        </w:tc>
        <w:tc>
          <w:tcPr>
            <w:tcW w:w="7371" w:type="dxa"/>
            <w:shd w:val="clear" w:color="auto" w:fill="FFFFFF"/>
          </w:tcPr>
          <w:p w14:paraId="5DF359AB"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2.8.3. Στοιχεία ενεργητικού επιπέδου 2Α</w:t>
            </w:r>
          </w:p>
          <w:p w14:paraId="470A9884" w14:textId="0532D64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μη ρευστά στοιχεία ενεργητικού (που παρέχονται ως δάνειο) με στοιχεία ενεργητικού επιπέδου 2Α (που λαμβάνονται ως δάνειο).</w:t>
            </w:r>
          </w:p>
        </w:tc>
      </w:tr>
      <w:tr w:rsidR="00B47B7D" w:rsidRPr="000B6B22" w14:paraId="4D88DBBE" w14:textId="77777777" w:rsidTr="0039321F">
        <w:tc>
          <w:tcPr>
            <w:tcW w:w="703" w:type="dxa"/>
            <w:shd w:val="clear" w:color="auto" w:fill="FFFFFF"/>
            <w:vAlign w:val="center"/>
          </w:tcPr>
          <w:p w14:paraId="4E4A1FDE" w14:textId="33D7E033" w:rsidR="00F71050" w:rsidRPr="000B6B22" w:rsidRDefault="008D0A41">
            <w:pPr>
              <w:spacing w:before="0"/>
              <w:rPr>
                <w:rFonts w:ascii="Times New Roman" w:eastAsia="PMingLiU" w:hAnsi="Times New Roman"/>
                <w:sz w:val="24"/>
              </w:rPr>
            </w:pPr>
            <w:r>
              <w:rPr>
                <w:rFonts w:ascii="Times New Roman" w:hAnsi="Times New Roman"/>
                <w:sz w:val="24"/>
              </w:rPr>
              <w:t>2630</w:t>
            </w:r>
          </w:p>
        </w:tc>
        <w:tc>
          <w:tcPr>
            <w:tcW w:w="7371" w:type="dxa"/>
            <w:shd w:val="clear" w:color="auto" w:fill="FFFFFF"/>
          </w:tcPr>
          <w:p w14:paraId="0CB567C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2.8.3.1. Των οποίων οι εξασφαλίσεις που ανταλλάσσονται πληρούν τις λειτουργικές απαιτήσεις</w:t>
            </w:r>
          </w:p>
          <w:p w14:paraId="14F31C14" w14:textId="0A5422F0"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Από τις συναλλαγές που αναφέρονται στο σημείο 2.8.3., τα πιστωτικά ιδρύματα αναφέρουν το σκέλος της εξασφάλισης που ελήφθη ως δάνειο, </w:t>
            </w:r>
            <w:r>
              <w:rPr>
                <w:rFonts w:ascii="Times New Roman" w:hAnsi="Times New Roman"/>
                <w:sz w:val="24"/>
              </w:rPr>
              <w:lastRenderedPageBreak/>
              <w:t>εφόσον πληροί τις λειτουργικές απαιτήσεις του άρθρου 8 του κατ’ εξουσιοδότηση κανονισμού (ΕΕ) 2015/61.</w:t>
            </w:r>
          </w:p>
        </w:tc>
      </w:tr>
      <w:tr w:rsidR="00B47B7D" w:rsidRPr="000B6B22" w14:paraId="58A322C5" w14:textId="77777777" w:rsidTr="0039321F">
        <w:tc>
          <w:tcPr>
            <w:tcW w:w="703" w:type="dxa"/>
            <w:shd w:val="clear" w:color="auto" w:fill="FFFFFF"/>
            <w:vAlign w:val="center"/>
          </w:tcPr>
          <w:p w14:paraId="1662F5DF" w14:textId="7BC0DA2B" w:rsidR="00F71050" w:rsidRPr="000B6B22" w:rsidRDefault="008D0A41">
            <w:pPr>
              <w:spacing w:before="0"/>
              <w:rPr>
                <w:rFonts w:ascii="Times New Roman" w:eastAsia="PMingLiU" w:hAnsi="Times New Roman"/>
                <w:sz w:val="24"/>
              </w:rPr>
            </w:pPr>
            <w:r>
              <w:rPr>
                <w:rFonts w:ascii="Times New Roman" w:hAnsi="Times New Roman"/>
                <w:sz w:val="24"/>
              </w:rPr>
              <w:lastRenderedPageBreak/>
              <w:t>2640</w:t>
            </w:r>
          </w:p>
        </w:tc>
        <w:tc>
          <w:tcPr>
            <w:tcW w:w="7371" w:type="dxa"/>
            <w:shd w:val="clear" w:color="auto" w:fill="FFFFFF"/>
          </w:tcPr>
          <w:p w14:paraId="428B7D33" w14:textId="58CD184B"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2.8.4. Επιπέδου 2Β τίτλοι από τιτλοποίηση (στεγαστικά δάνεια ή δάνεια για αγορά αυτοκινήτου, ΒΠΠ1)</w:t>
            </w:r>
          </w:p>
          <w:p w14:paraId="7BCF3EA4" w14:textId="142517B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μη ρευστά στοιχεία ενεργητικού (που παρέχονται ως δάνειο) με τίτλους από τιτλοποίηση επιπέδου 2Β (στεγαστικά δάνεια ή δάνεια αγοράς αυτοκινήτου, ΒΠΠ1) (που λαμβάνονται ως δάνειο).</w:t>
            </w:r>
          </w:p>
        </w:tc>
      </w:tr>
      <w:tr w:rsidR="00B47B7D" w:rsidRPr="000B6B22" w14:paraId="17BB6239" w14:textId="77777777" w:rsidTr="0039321F">
        <w:tc>
          <w:tcPr>
            <w:tcW w:w="703" w:type="dxa"/>
            <w:shd w:val="clear" w:color="auto" w:fill="FFFFFF"/>
            <w:vAlign w:val="center"/>
          </w:tcPr>
          <w:p w14:paraId="0579CFE3" w14:textId="307E9510" w:rsidR="00F71050" w:rsidRPr="000B6B22" w:rsidRDefault="008D0A41">
            <w:pPr>
              <w:spacing w:before="0"/>
              <w:rPr>
                <w:rFonts w:ascii="Times New Roman" w:eastAsia="PMingLiU" w:hAnsi="Times New Roman"/>
                <w:sz w:val="24"/>
              </w:rPr>
            </w:pPr>
            <w:r>
              <w:rPr>
                <w:rFonts w:ascii="Times New Roman" w:hAnsi="Times New Roman"/>
                <w:sz w:val="24"/>
              </w:rPr>
              <w:t>2650</w:t>
            </w:r>
          </w:p>
        </w:tc>
        <w:tc>
          <w:tcPr>
            <w:tcW w:w="7371" w:type="dxa"/>
            <w:shd w:val="clear" w:color="auto" w:fill="FFFFFF"/>
          </w:tcPr>
          <w:p w14:paraId="2D28F5A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2.8.4.1. Των οποίων οι εξασφαλίσεις που ανταλλάσσονται πληρούν τις λειτουργικές απαιτήσεις</w:t>
            </w:r>
          </w:p>
          <w:p w14:paraId="77C9E74D" w14:textId="6E0B380B"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Από τις συναλλαγές που αναφέρονται στο σημείο 2.8.4., τα πιστωτικά ιδρύματα αναφέρουν 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7601A85F" w14:textId="77777777" w:rsidTr="0039321F">
        <w:tc>
          <w:tcPr>
            <w:tcW w:w="703" w:type="dxa"/>
            <w:shd w:val="clear" w:color="auto" w:fill="FFFFFF"/>
            <w:vAlign w:val="center"/>
          </w:tcPr>
          <w:p w14:paraId="0AB3D1E4" w14:textId="032960F5" w:rsidR="00F71050" w:rsidRPr="000B6B22" w:rsidRDefault="008D0A41">
            <w:pPr>
              <w:spacing w:before="0"/>
              <w:rPr>
                <w:rFonts w:ascii="Times New Roman" w:eastAsia="PMingLiU" w:hAnsi="Times New Roman"/>
                <w:sz w:val="24"/>
              </w:rPr>
            </w:pPr>
            <w:r>
              <w:rPr>
                <w:rFonts w:ascii="Times New Roman" w:hAnsi="Times New Roman"/>
                <w:sz w:val="24"/>
              </w:rPr>
              <w:t>2660</w:t>
            </w:r>
          </w:p>
        </w:tc>
        <w:tc>
          <w:tcPr>
            <w:tcW w:w="7371" w:type="dxa"/>
            <w:shd w:val="clear" w:color="auto" w:fill="FFFFFF"/>
          </w:tcPr>
          <w:p w14:paraId="0A9A3DF7" w14:textId="3F71EE2A"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2.8.5. Επιπέδου 2Β υψηλής ποιότητας καλυμμένα ομόλογα</w:t>
            </w:r>
          </w:p>
          <w:p w14:paraId="11BC0B14" w14:textId="4734252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μη ρευστά στοιχεία ενεργητικού (που παρέχονται ως δάνειο) με υψηλής ποιότητας καλυμμένα ομόλογα επιπέδου 2Β (που λαμβάνονται ως δάνειο).</w:t>
            </w:r>
          </w:p>
        </w:tc>
      </w:tr>
      <w:tr w:rsidR="00B47B7D" w:rsidRPr="000B6B22" w14:paraId="3F9CC7DD" w14:textId="77777777" w:rsidTr="0039321F">
        <w:tc>
          <w:tcPr>
            <w:tcW w:w="703" w:type="dxa"/>
            <w:shd w:val="clear" w:color="auto" w:fill="FFFFFF"/>
            <w:vAlign w:val="center"/>
          </w:tcPr>
          <w:p w14:paraId="38A547DD" w14:textId="657937D2" w:rsidR="00F71050" w:rsidRPr="000B6B22" w:rsidRDefault="008D0A41">
            <w:pPr>
              <w:spacing w:before="0"/>
              <w:rPr>
                <w:rFonts w:ascii="Times New Roman" w:eastAsia="PMingLiU" w:hAnsi="Times New Roman"/>
                <w:sz w:val="24"/>
              </w:rPr>
            </w:pPr>
            <w:r>
              <w:rPr>
                <w:rFonts w:ascii="Times New Roman" w:hAnsi="Times New Roman"/>
                <w:sz w:val="24"/>
              </w:rPr>
              <w:t>2670</w:t>
            </w:r>
          </w:p>
        </w:tc>
        <w:tc>
          <w:tcPr>
            <w:tcW w:w="7371" w:type="dxa"/>
            <w:shd w:val="clear" w:color="auto" w:fill="FFFFFF"/>
          </w:tcPr>
          <w:p w14:paraId="37C2ACC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2.8.5.1. Των οποίων οι εξασφαλίσεις που ανταλλάσσονται πληρούν τις λειτουργικές απαιτήσεις</w:t>
            </w:r>
          </w:p>
          <w:p w14:paraId="11F6AECE" w14:textId="36836919"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Από τις συναλλαγές που αναφέρονται στο σημείο 2.8.5., τα πιστωτικά ιδρύματα αναφέρουν 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2589D13A" w14:textId="77777777" w:rsidTr="0039321F">
        <w:tc>
          <w:tcPr>
            <w:tcW w:w="703" w:type="dxa"/>
            <w:shd w:val="clear" w:color="auto" w:fill="FFFFFF"/>
            <w:vAlign w:val="center"/>
          </w:tcPr>
          <w:p w14:paraId="7CAC3782" w14:textId="765F628F" w:rsidR="00F71050" w:rsidRPr="000B6B22" w:rsidRDefault="008D0A41">
            <w:pPr>
              <w:spacing w:before="0"/>
              <w:rPr>
                <w:rFonts w:ascii="Times New Roman" w:eastAsia="PMingLiU" w:hAnsi="Times New Roman"/>
                <w:sz w:val="24"/>
              </w:rPr>
            </w:pPr>
            <w:r>
              <w:rPr>
                <w:rFonts w:ascii="Times New Roman" w:hAnsi="Times New Roman"/>
                <w:sz w:val="24"/>
              </w:rPr>
              <w:t>2680</w:t>
            </w:r>
          </w:p>
        </w:tc>
        <w:tc>
          <w:tcPr>
            <w:tcW w:w="7371" w:type="dxa"/>
            <w:shd w:val="clear" w:color="auto" w:fill="FFFFFF"/>
          </w:tcPr>
          <w:p w14:paraId="56E1C405" w14:textId="6A63A29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2.8.6. Επιπέδου 2Β τίτλοι από τιτλοποίηση (εμπορικά δάνεια ή δάνεια σε ιδιώτες, κράτος μέλος, ΒΠΠ1)</w:t>
            </w:r>
          </w:p>
          <w:p w14:paraId="16DFDF65" w14:textId="160AED1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μη ρευστά στοιχεία ενεργητικού (που παρέχονται ως δάνειο) με τίτλους από τιτλοποίηση επιπέδου 2Β (εμπορικά δάνεια ή δάνεια σε ιδιώτες, κράτος μέλος, ΒΠΠ1) (που λαμβάνονται ως δάνειο).</w:t>
            </w:r>
          </w:p>
        </w:tc>
      </w:tr>
      <w:tr w:rsidR="00B47B7D" w:rsidRPr="000B6B22" w14:paraId="777B9D12" w14:textId="77777777" w:rsidTr="0039321F">
        <w:tc>
          <w:tcPr>
            <w:tcW w:w="703" w:type="dxa"/>
            <w:shd w:val="clear" w:color="auto" w:fill="FFFFFF"/>
            <w:vAlign w:val="center"/>
          </w:tcPr>
          <w:p w14:paraId="332C6601" w14:textId="4454EEAD" w:rsidR="00F71050" w:rsidRPr="000B6B22" w:rsidRDefault="008D0A41">
            <w:pPr>
              <w:spacing w:before="0"/>
              <w:rPr>
                <w:rFonts w:ascii="Times New Roman" w:eastAsia="PMingLiU" w:hAnsi="Times New Roman"/>
                <w:sz w:val="24"/>
              </w:rPr>
            </w:pPr>
            <w:r>
              <w:rPr>
                <w:rFonts w:ascii="Times New Roman" w:hAnsi="Times New Roman"/>
                <w:sz w:val="24"/>
              </w:rPr>
              <w:t>2690</w:t>
            </w:r>
          </w:p>
        </w:tc>
        <w:tc>
          <w:tcPr>
            <w:tcW w:w="7371" w:type="dxa"/>
            <w:shd w:val="clear" w:color="auto" w:fill="FFFFFF"/>
          </w:tcPr>
          <w:p w14:paraId="4951F63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2.8.6.1. Των οποίων οι εξασφαλίσεις που ανταλλάσσονται πληρούν τις λειτουργικές απαιτήσεις</w:t>
            </w:r>
          </w:p>
          <w:p w14:paraId="6557E1BB" w14:textId="3C35F733"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Από τις συναλλαγές που αναφέρονται στο σημείο 2.8.6., τα πιστωτικά ιδρύματα αναφέρουν 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5745BADE" w14:textId="77777777" w:rsidTr="0039321F">
        <w:tc>
          <w:tcPr>
            <w:tcW w:w="703" w:type="dxa"/>
            <w:shd w:val="clear" w:color="auto" w:fill="FFFFFF"/>
            <w:vAlign w:val="center"/>
          </w:tcPr>
          <w:p w14:paraId="5C45A915" w14:textId="09553DE4" w:rsidR="00F71050" w:rsidRPr="000B6B22" w:rsidRDefault="008D0A41">
            <w:pPr>
              <w:spacing w:before="0"/>
              <w:rPr>
                <w:rFonts w:ascii="Times New Roman" w:eastAsia="PMingLiU" w:hAnsi="Times New Roman"/>
                <w:sz w:val="24"/>
              </w:rPr>
            </w:pPr>
            <w:r>
              <w:rPr>
                <w:rFonts w:ascii="Times New Roman" w:hAnsi="Times New Roman"/>
                <w:sz w:val="24"/>
              </w:rPr>
              <w:t>2700</w:t>
            </w:r>
          </w:p>
        </w:tc>
        <w:tc>
          <w:tcPr>
            <w:tcW w:w="7371" w:type="dxa"/>
            <w:shd w:val="clear" w:color="auto" w:fill="FFFFFF"/>
          </w:tcPr>
          <w:p w14:paraId="4A7AFC05" w14:textId="7D593EAF"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2.8.7. Άλλα στοιχεία ενεργητικού επιπέδου 2Β</w:t>
            </w:r>
          </w:p>
          <w:p w14:paraId="3EB8EC15" w14:textId="58E65BFD"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μη ρευστά στοιχεία ενεργητικού (που παρέχονται ως δάνειο) με άλλα στοιχεία επιπέδου 2Β (που λαμβάνονται ως δάνειο).</w:t>
            </w:r>
          </w:p>
        </w:tc>
      </w:tr>
      <w:tr w:rsidR="00B47B7D" w:rsidRPr="000B6B22" w14:paraId="06A5D5BC" w14:textId="77777777" w:rsidTr="0039321F">
        <w:tc>
          <w:tcPr>
            <w:tcW w:w="703" w:type="dxa"/>
            <w:shd w:val="clear" w:color="auto" w:fill="FFFFFF"/>
            <w:vAlign w:val="center"/>
          </w:tcPr>
          <w:p w14:paraId="291EBD4D" w14:textId="2633FB8B" w:rsidR="00F71050" w:rsidRPr="000B6B22" w:rsidRDefault="008D0A41">
            <w:pPr>
              <w:spacing w:before="0"/>
              <w:rPr>
                <w:rFonts w:ascii="Times New Roman" w:eastAsia="PMingLiU" w:hAnsi="Times New Roman"/>
                <w:sz w:val="24"/>
              </w:rPr>
            </w:pPr>
            <w:r>
              <w:rPr>
                <w:rFonts w:ascii="Times New Roman" w:hAnsi="Times New Roman"/>
                <w:sz w:val="24"/>
              </w:rPr>
              <w:t>2710</w:t>
            </w:r>
          </w:p>
        </w:tc>
        <w:tc>
          <w:tcPr>
            <w:tcW w:w="7371" w:type="dxa"/>
            <w:shd w:val="clear" w:color="auto" w:fill="FFFFFF"/>
          </w:tcPr>
          <w:p w14:paraId="1B5106F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2.8.7.1. Των οποίων οι εξασφαλίσεις που ανταλλάσσονται πληρούν τις λειτουργικές απαιτήσεις</w:t>
            </w:r>
          </w:p>
          <w:p w14:paraId="7EF48BD8" w14:textId="1863E8B5"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lastRenderedPageBreak/>
              <w:t>Από τις συναλλαγές που αναφέρονται στο σημείο 2.8.7., τα πιστωτικά ιδρύματα αναφέρουν 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224C2094" w14:textId="77777777" w:rsidTr="0039321F">
        <w:tc>
          <w:tcPr>
            <w:tcW w:w="703" w:type="dxa"/>
            <w:shd w:val="clear" w:color="auto" w:fill="FFFFFF"/>
            <w:vAlign w:val="center"/>
          </w:tcPr>
          <w:p w14:paraId="23052EF1" w14:textId="3345C150" w:rsidR="00F71050" w:rsidRPr="000B6B22" w:rsidRDefault="008D0A41">
            <w:pPr>
              <w:spacing w:before="0"/>
              <w:rPr>
                <w:rFonts w:ascii="Times New Roman" w:eastAsia="PMingLiU" w:hAnsi="Times New Roman"/>
                <w:sz w:val="24"/>
              </w:rPr>
            </w:pPr>
            <w:r>
              <w:rPr>
                <w:rFonts w:ascii="Times New Roman" w:hAnsi="Times New Roman"/>
                <w:sz w:val="24"/>
              </w:rPr>
              <w:lastRenderedPageBreak/>
              <w:t>2720</w:t>
            </w:r>
          </w:p>
        </w:tc>
        <w:tc>
          <w:tcPr>
            <w:tcW w:w="7371" w:type="dxa"/>
            <w:shd w:val="clear" w:color="auto" w:fill="FFFFFF"/>
          </w:tcPr>
          <w:p w14:paraId="620A245B" w14:textId="4BE31B8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2.8.8. Μη ρευστά στοιχεία ενεργητικού</w:t>
            </w:r>
          </w:p>
          <w:p w14:paraId="36E5A087" w14:textId="475E24C3"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μη ρευστά στοιχεία ενεργητικού (που παρέχονται ως δάνειο) με μη ρευστά στοιχεία ενεργητικού (που λαμβάνονται ως δάνειο).</w:t>
            </w:r>
          </w:p>
        </w:tc>
      </w:tr>
      <w:tr w:rsidR="00B47B7D" w:rsidRPr="000B6B22" w14:paraId="28C8D3F3" w14:textId="77777777" w:rsidTr="0039321F">
        <w:tc>
          <w:tcPr>
            <w:tcW w:w="8074" w:type="dxa"/>
            <w:gridSpan w:val="2"/>
            <w:shd w:val="clear" w:color="auto" w:fill="D9D9D9"/>
            <w:vAlign w:val="center"/>
          </w:tcPr>
          <w:p w14:paraId="5D8A96D2" w14:textId="77777777" w:rsidR="00F71050" w:rsidRPr="000B6B22" w:rsidRDefault="00F71050" w:rsidP="009D4EFF">
            <w:pPr>
              <w:spacing w:before="0"/>
              <w:ind w:left="-84"/>
              <w:rPr>
                <w:rFonts w:ascii="Times New Roman" w:eastAsia="PMingLiU" w:hAnsi="Times New Roman"/>
                <w:bCs/>
                <w:sz w:val="24"/>
              </w:rPr>
            </w:pPr>
            <w:r>
              <w:rPr>
                <w:rFonts w:ascii="Times New Roman" w:hAnsi="Times New Roman"/>
                <w:b/>
                <w:sz w:val="24"/>
              </w:rPr>
              <w:t>ΥΠΟΜΝΗΜΑΤΙΚΑ ΣΤΟΙΧΕΙΑ</w:t>
            </w:r>
          </w:p>
        </w:tc>
      </w:tr>
      <w:tr w:rsidR="00B47B7D" w:rsidRPr="000B6B22" w14:paraId="4643EBA4" w14:textId="77777777" w:rsidTr="0039321F">
        <w:tc>
          <w:tcPr>
            <w:tcW w:w="703" w:type="dxa"/>
            <w:shd w:val="clear" w:color="auto" w:fill="FFFFFF"/>
            <w:vAlign w:val="center"/>
          </w:tcPr>
          <w:p w14:paraId="3B77ED11" w14:textId="1615EE49" w:rsidR="00F71050" w:rsidRPr="000B6B22" w:rsidRDefault="008D0A41">
            <w:pPr>
              <w:spacing w:before="0"/>
              <w:rPr>
                <w:rFonts w:ascii="Times New Roman" w:eastAsia="PMingLiU" w:hAnsi="Times New Roman"/>
                <w:sz w:val="24"/>
              </w:rPr>
            </w:pPr>
            <w:r>
              <w:rPr>
                <w:rFonts w:ascii="Times New Roman" w:hAnsi="Times New Roman"/>
                <w:sz w:val="24"/>
              </w:rPr>
              <w:t>2730</w:t>
            </w:r>
          </w:p>
        </w:tc>
        <w:tc>
          <w:tcPr>
            <w:tcW w:w="7371" w:type="dxa"/>
            <w:shd w:val="clear" w:color="auto" w:fill="FFFFFF"/>
          </w:tcPr>
          <w:p w14:paraId="441A0E96" w14:textId="01B51C91" w:rsidR="00F71050" w:rsidRPr="000B6B22" w:rsidRDefault="00F71050" w:rsidP="009D4EFF">
            <w:pPr>
              <w:spacing w:before="0"/>
              <w:ind w:left="-84"/>
              <w:rPr>
                <w:rFonts w:ascii="Times New Roman" w:eastAsia="PMingLiU" w:hAnsi="Times New Roman"/>
                <w:sz w:val="24"/>
              </w:rPr>
            </w:pPr>
            <w:r>
              <w:rPr>
                <w:rFonts w:ascii="Times New Roman" w:hAnsi="Times New Roman"/>
                <w:b/>
                <w:sz w:val="24"/>
              </w:rPr>
              <w:t>3. Σύνολο πράξεων ανταλλαγής εξασφαλίσεων (όλοι οι αντισυμβαλλόμενοι) όταν οι εξασφαλίσεις που λαμβάνονται ως δάνειο έχουν χρησιμοποιηθεί για την κάλυψη αρνητικών θέσεων</w:t>
            </w:r>
          </w:p>
          <w:p w14:paraId="5BEA4AC9" w14:textId="1C15A45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Τα ιδρύματα αναφέρουν εδώ το σύνολο των πράξεων ανταλλαγής εξασφαλίσεων (για όλους τους αντισυμβαλλόμενους) που αναφέρονται στις ανωτέρω γραμμές, όταν οι εξασφαλίσεις που λαμβάνονται ως δάνειο έχουν χρησιμοποιηθεί για την κάλυψη αρνητικών θέσεων, οπότε εφαρμόζεται ποσοστό εκροής 0 %.</w:t>
            </w:r>
          </w:p>
        </w:tc>
      </w:tr>
      <w:tr w:rsidR="00B47B7D" w:rsidRPr="000B6B22" w14:paraId="60BA4A54" w14:textId="77777777" w:rsidTr="0039321F">
        <w:tc>
          <w:tcPr>
            <w:tcW w:w="703" w:type="dxa"/>
            <w:shd w:val="clear" w:color="auto" w:fill="FFFFFF"/>
            <w:vAlign w:val="center"/>
          </w:tcPr>
          <w:p w14:paraId="36B3DEA0" w14:textId="6263204A" w:rsidR="00F71050" w:rsidRPr="000B6B22" w:rsidRDefault="008D0A41">
            <w:pPr>
              <w:spacing w:before="0"/>
              <w:rPr>
                <w:rFonts w:ascii="Times New Roman" w:eastAsia="PMingLiU" w:hAnsi="Times New Roman"/>
                <w:sz w:val="24"/>
              </w:rPr>
            </w:pPr>
            <w:r>
              <w:rPr>
                <w:rFonts w:ascii="Times New Roman" w:hAnsi="Times New Roman"/>
                <w:sz w:val="24"/>
              </w:rPr>
              <w:t>2740</w:t>
            </w:r>
          </w:p>
        </w:tc>
        <w:tc>
          <w:tcPr>
            <w:tcW w:w="7371" w:type="dxa"/>
            <w:shd w:val="clear" w:color="auto" w:fill="FFFFFF"/>
          </w:tcPr>
          <w:p w14:paraId="4E968F51" w14:textId="054E8A4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4. Συνολικές πράξεις ανταλλαγής εξασφαλίσεων με αντισυμβαλλομένους εντός του ομίλου</w:t>
            </w:r>
          </w:p>
          <w:p w14:paraId="35E9ADB8" w14:textId="311AB8A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Τα ιδρύματα αναφέρουν στο σημείο αυτό το σύνολο των πράξεων ανταλλαγής εξασφαλίσεων που αναφέρονται στις ανωτέρω γραμμές που πραγματοποιούνται με αντισυμβαλλόμενους εντός του ομίλου.</w:t>
            </w:r>
          </w:p>
        </w:tc>
      </w:tr>
      <w:tr w:rsidR="00B47B7D" w:rsidRPr="000B6B22" w14:paraId="20F7F67D" w14:textId="77777777" w:rsidTr="0039321F">
        <w:tc>
          <w:tcPr>
            <w:tcW w:w="703" w:type="dxa"/>
            <w:shd w:val="clear" w:color="auto" w:fill="FFFFFF"/>
            <w:vAlign w:val="center"/>
          </w:tcPr>
          <w:p w14:paraId="65C25FB1" w14:textId="5596ADB7" w:rsidR="00F71050" w:rsidRPr="000B6B22" w:rsidRDefault="00F71050">
            <w:pPr>
              <w:spacing w:before="0"/>
              <w:rPr>
                <w:rFonts w:ascii="Times New Roman" w:eastAsia="PMingLiU" w:hAnsi="Times New Roman"/>
                <w:bCs/>
                <w:sz w:val="24"/>
                <w:lang w:eastAsia="de-DE"/>
              </w:rPr>
            </w:pPr>
          </w:p>
        </w:tc>
        <w:tc>
          <w:tcPr>
            <w:tcW w:w="7371" w:type="dxa"/>
            <w:shd w:val="clear" w:color="auto" w:fill="FFFFFF"/>
          </w:tcPr>
          <w:p w14:paraId="180F05DD" w14:textId="6929CA3C"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 Πράξεις ανταλλαγής εξασφαλίσεων με απαλλαγή από το άρθρο 17 παράγραφοι 2 και 3</w:t>
            </w:r>
          </w:p>
          <w:p w14:paraId="7FD4C78A" w14:textId="03404029"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Τα πιστωτικά ιδρύματα αναφέρουν εδώ το μέρος των πράξεων ανταλλαγής εξασφαλίσεων με εναπομένουσα ληκτότητα που δεν υπερβαίνει τις 30 ημέρες, όταν ο αντισυμβαλλόμενος είναι κεντρική τράπεζα και εφόσον οι σχετικές πράξεις εξαιρούνται από την εφαρμογή του άρθρου 17 παράγραφοι 2 και 3 του κατ’ εξουσιοδότηση κανονισμού (ΕΕ) 2015/61 βάσει του άρθρου 17 παράγραφος 4 του εν λόγω κανονισμού.</w:t>
            </w:r>
          </w:p>
        </w:tc>
      </w:tr>
      <w:tr w:rsidR="00B47B7D" w:rsidRPr="000B6B22" w14:paraId="739FFEAE" w14:textId="77777777" w:rsidTr="0039321F">
        <w:tc>
          <w:tcPr>
            <w:tcW w:w="703" w:type="dxa"/>
            <w:shd w:val="clear" w:color="auto" w:fill="FFFFFF"/>
            <w:vAlign w:val="center"/>
          </w:tcPr>
          <w:p w14:paraId="63B7EEE7" w14:textId="0FDA9273" w:rsidR="00F71050" w:rsidRPr="000B6B22" w:rsidRDefault="008D0A41">
            <w:pPr>
              <w:spacing w:before="0"/>
              <w:rPr>
                <w:rFonts w:ascii="Times New Roman" w:eastAsia="PMingLiU" w:hAnsi="Times New Roman"/>
                <w:bCs/>
                <w:sz w:val="24"/>
              </w:rPr>
            </w:pPr>
            <w:r>
              <w:rPr>
                <w:rFonts w:ascii="Times New Roman" w:hAnsi="Times New Roman"/>
                <w:sz w:val="24"/>
              </w:rPr>
              <w:t>2750</w:t>
            </w:r>
          </w:p>
        </w:tc>
        <w:tc>
          <w:tcPr>
            <w:tcW w:w="7371" w:type="dxa"/>
            <w:shd w:val="clear" w:color="auto" w:fill="FFFFFF"/>
          </w:tcPr>
          <w:p w14:paraId="2254F76D"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5.1. εκ των οποίων: οι εξασφαλίσεις που λαμβάνονται ως δάνειο είναι επιπέδου 1, εξαιρουμένων των ΕΥΠΚΟ</w:t>
            </w:r>
          </w:p>
          <w:p w14:paraId="13EFDA8D" w14:textId="52EA08A2"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Τα πιστωτικά ιδρύματα αναφέρουν εδώ το μέρος των πράξεων ανταλλαγής εξασφαλίσεων με εναπομένουσα ληκτότητα που δεν υπερβαίνει τις 30 ημέρες, όταν ο αντισυμβαλλόμενος είναι κεντρική τράπεζα, η εξασφάλιση που λαμβάνεται ως δάνειο είναι εξασφάλιση επιπέδου 1, εξαιρουμένων των εξαιρετικά υψηλής ποιότητας καλυμμένων ομολόγων και πληροί τις λειτουργικές απαιτήσεις που ορίζονται στο άρθρο 8 του κατ’ εξουσιοδότηση κανονισμού (ΕΕ) 2015/61, και όταν οι σχετικές πράξεις εξαιρούνται από την εφαρμογή του άρθρου 17 παράγραφοι 2 και 3 του κατ’ εξουσιοδότηση κανονισμού (ΕΕ) 2015/61 βάσει του άρθρου 17 παράγραφος 4 του εν λόγω κανονισμού.</w:t>
            </w:r>
          </w:p>
        </w:tc>
      </w:tr>
      <w:tr w:rsidR="00B47B7D" w:rsidRPr="000B6B22" w14:paraId="2FD8A692" w14:textId="77777777" w:rsidTr="0039321F">
        <w:tc>
          <w:tcPr>
            <w:tcW w:w="703" w:type="dxa"/>
            <w:shd w:val="clear" w:color="auto" w:fill="FFFFFF"/>
            <w:vAlign w:val="center"/>
          </w:tcPr>
          <w:p w14:paraId="5BFA4089" w14:textId="4F30F7E7" w:rsidR="00F71050" w:rsidRPr="000B6B22" w:rsidRDefault="008D0A41">
            <w:pPr>
              <w:spacing w:before="0"/>
              <w:rPr>
                <w:rFonts w:ascii="Times New Roman" w:eastAsia="PMingLiU" w:hAnsi="Times New Roman"/>
                <w:bCs/>
                <w:sz w:val="24"/>
              </w:rPr>
            </w:pPr>
            <w:r>
              <w:rPr>
                <w:rFonts w:ascii="Times New Roman" w:hAnsi="Times New Roman"/>
                <w:sz w:val="24"/>
              </w:rPr>
              <w:t>2760</w:t>
            </w:r>
          </w:p>
        </w:tc>
        <w:tc>
          <w:tcPr>
            <w:tcW w:w="7371" w:type="dxa"/>
            <w:shd w:val="clear" w:color="auto" w:fill="FFFFFF"/>
          </w:tcPr>
          <w:p w14:paraId="262F8F46" w14:textId="775A215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5.2. εκ των οποίων: οι εξασφαλίσεις που λαμβάνονται ως δάνειο είναι ΕΥΠΚΟ επιπέδου 1</w:t>
            </w:r>
          </w:p>
          <w:p w14:paraId="2EA5F5EF" w14:textId="57BE0C6D"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lastRenderedPageBreak/>
              <w:t>Τα πιστωτικά ιδρύματα αναφέρουν εδώ το μέρος των πράξεων ανταλλαγής εξασφαλίσεων με εναπομένουσα ληκτότητα που δεν υπερβαίνει τις 30 ημέρες, όταν ο αντισυμβαλλόμενος είναι κεντρική τράπεζα, η εξασφάλιση που λαμβάνεται ως δάνειο είναι εξασφάλιση επιπέδου 1 που συνίσταται σε εξαιρετικά υψηλής ποιότητας καλυμμένα ομόλογα και πληροί τις λειτουργικές απαιτήσεις που ορίζονται στο άρθρο 8 του κατ’ εξουσιοδότηση κανονισμού (ΕΕ) 2015/61, και όταν οι σχετικές πράξεις εξαιρούνται από την εφαρμογή του άρθρου 17 παράγραφοι 2 και 3 του κατ’ εξουσιοδότηση κανονισμού (ΕΕ) 2015/61 βάσει του άρθρου 17 παράγραφος 4 του εν λόγω κανονισμού.</w:t>
            </w:r>
          </w:p>
        </w:tc>
      </w:tr>
      <w:tr w:rsidR="00B47B7D" w:rsidRPr="000B6B22" w14:paraId="5944E158" w14:textId="77777777" w:rsidTr="0039321F">
        <w:tc>
          <w:tcPr>
            <w:tcW w:w="703" w:type="dxa"/>
            <w:shd w:val="clear" w:color="auto" w:fill="FFFFFF"/>
            <w:vAlign w:val="center"/>
          </w:tcPr>
          <w:p w14:paraId="257AF33A" w14:textId="24A3469D" w:rsidR="00F71050" w:rsidRPr="000B6B22" w:rsidRDefault="008D0A41">
            <w:pPr>
              <w:spacing w:before="0"/>
              <w:rPr>
                <w:rFonts w:ascii="Times New Roman" w:eastAsia="PMingLiU" w:hAnsi="Times New Roman"/>
                <w:bCs/>
                <w:sz w:val="24"/>
              </w:rPr>
            </w:pPr>
            <w:r>
              <w:rPr>
                <w:rFonts w:ascii="Times New Roman" w:hAnsi="Times New Roman"/>
                <w:sz w:val="24"/>
              </w:rPr>
              <w:lastRenderedPageBreak/>
              <w:t>2770</w:t>
            </w:r>
          </w:p>
        </w:tc>
        <w:tc>
          <w:tcPr>
            <w:tcW w:w="7371" w:type="dxa"/>
            <w:shd w:val="clear" w:color="auto" w:fill="FFFFFF"/>
          </w:tcPr>
          <w:p w14:paraId="205E1822" w14:textId="30EF9B53"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5.3. εκ των οποίων: οι εξασφαλίσεις που λαμβάνονται ως δάνειο είναι επιπέδου 2Α</w:t>
            </w:r>
          </w:p>
          <w:p w14:paraId="6365F3BF" w14:textId="73267DF1"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Τα πιστωτικά ιδρύματα αναφέρουν εδώ το μέρος των πράξεων ανταλλαγής εξασφαλίσεων με εναπομένουσα ληκτότητα που δεν υπερβαίνει τις 30 ημέρες, όταν ο αντισυμβαλλόμενος είναι κεντρική τράπεζα, η εξασφάλιση που λαμβάνεται ως δάνειο είναι εξασφάλιση επιπέδου 2Α και πληροί τις λειτουργικές απαιτήσεις που ορίζονται στο άρθρο 8 του κατ’ εξουσιοδότηση κανονισμού (ΕΕ) 2015/61, και όταν οι σχετικές πράξεις εξαιρούνται από την εφαρμογή του άρθρου 17 παράγραφοι 2 και 3 του κατ’ εξουσιοδότηση κανονισμού (ΕΕ) 2015/61 βάσει του άρθρου 17 παράγραφος 4 του εν λόγω κανονισμού.</w:t>
            </w:r>
          </w:p>
        </w:tc>
      </w:tr>
      <w:tr w:rsidR="00B47B7D" w:rsidRPr="000B6B22" w14:paraId="57AEB22E" w14:textId="77777777" w:rsidTr="0039321F">
        <w:tc>
          <w:tcPr>
            <w:tcW w:w="703" w:type="dxa"/>
            <w:shd w:val="clear" w:color="auto" w:fill="FFFFFF"/>
            <w:vAlign w:val="center"/>
          </w:tcPr>
          <w:p w14:paraId="4285C995" w14:textId="26D8CBE1" w:rsidR="00F71050" w:rsidRPr="000B6B22" w:rsidRDefault="008D0A41">
            <w:pPr>
              <w:spacing w:before="0"/>
              <w:rPr>
                <w:rFonts w:ascii="Times New Roman" w:eastAsia="PMingLiU" w:hAnsi="Times New Roman"/>
                <w:bCs/>
                <w:sz w:val="24"/>
              </w:rPr>
            </w:pPr>
            <w:r>
              <w:rPr>
                <w:rFonts w:ascii="Times New Roman" w:hAnsi="Times New Roman"/>
                <w:sz w:val="24"/>
              </w:rPr>
              <w:t>2780</w:t>
            </w:r>
          </w:p>
        </w:tc>
        <w:tc>
          <w:tcPr>
            <w:tcW w:w="7371" w:type="dxa"/>
            <w:shd w:val="clear" w:color="auto" w:fill="FFFFFF"/>
          </w:tcPr>
          <w:p w14:paraId="2442C65C" w14:textId="26BA68A2" w:rsidR="00F71050" w:rsidRPr="000B6B22" w:rsidRDefault="00F71050" w:rsidP="009D4EFF">
            <w:pPr>
              <w:spacing w:before="0"/>
              <w:ind w:left="-84"/>
              <w:rPr>
                <w:rFonts w:ascii="Times New Roman" w:eastAsia="PMingLiU" w:hAnsi="Times New Roman"/>
                <w:bCs/>
                <w:sz w:val="24"/>
              </w:rPr>
            </w:pPr>
            <w:r>
              <w:rPr>
                <w:rFonts w:ascii="Times New Roman" w:hAnsi="Times New Roman"/>
                <w:b/>
                <w:sz w:val="24"/>
              </w:rPr>
              <w:t>5.4. εκ των οποίων: οι εξασφαλίσεις που λαμβάνονται ως δάνειο είναι επιπέδου 2Β</w:t>
            </w:r>
          </w:p>
          <w:p w14:paraId="61280758" w14:textId="584CDFD9"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Τα πιστωτικά ιδρύματα αναφέρουν εδώ το μέρος των πράξεων ανταλλαγής εξασφαλίσεων με εναπομένουσα ληκτότητα που δεν υπερβαίνει τις 30 ημέρες, όταν ο αντισυμβαλλόμενος είναι κεντρική τράπεζα, η εξασφάλιση που λαμβάνεται ως δάνειο είναι εξασφάλιση επιπέδου 2Β και πληροί τις λειτουργικές απαιτήσεις που ορίζονται στο άρθρο 8 του κατ’ εξουσιοδότηση κανονισμού (ΕΕ) 2015/61, και όταν οι σχετικές πράξεις εξαιρούνται από την εφαρμογή του άρθρου 17 παράγραφοι 2 και 3 του κατ’ εξουσιοδότηση κανονισμού (ΕΕ) 2015/61 βάσει του άρθρου 17 παράγραφος 4 του εν λόγω κανονισμού.</w:t>
            </w:r>
          </w:p>
        </w:tc>
      </w:tr>
      <w:tr w:rsidR="00B47B7D" w:rsidRPr="000B6B22" w14:paraId="5018FD02" w14:textId="77777777" w:rsidTr="0039321F">
        <w:tc>
          <w:tcPr>
            <w:tcW w:w="703" w:type="dxa"/>
            <w:shd w:val="clear" w:color="auto" w:fill="FFFFFF"/>
            <w:vAlign w:val="center"/>
          </w:tcPr>
          <w:p w14:paraId="63F6682C" w14:textId="66123E38" w:rsidR="00F71050" w:rsidRPr="000B6B22" w:rsidRDefault="008D0A41">
            <w:pPr>
              <w:spacing w:before="0"/>
              <w:rPr>
                <w:rFonts w:ascii="Times New Roman" w:eastAsia="PMingLiU" w:hAnsi="Times New Roman"/>
                <w:bCs/>
                <w:sz w:val="24"/>
              </w:rPr>
            </w:pPr>
            <w:r>
              <w:rPr>
                <w:rFonts w:ascii="Times New Roman" w:hAnsi="Times New Roman"/>
                <w:sz w:val="24"/>
              </w:rPr>
              <w:t>2790</w:t>
            </w:r>
          </w:p>
        </w:tc>
        <w:tc>
          <w:tcPr>
            <w:tcW w:w="7371" w:type="dxa"/>
            <w:shd w:val="clear" w:color="auto" w:fill="FFFFFF"/>
          </w:tcPr>
          <w:p w14:paraId="584FAB20" w14:textId="18346F3C"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5.5. εκ των οποίων: οι εξασφαλίσεις που παρέχονται ως δάνειο είναι επιπέδου 1, εξαιρουμένων των ΕΥΠΚΟ</w:t>
            </w:r>
          </w:p>
          <w:p w14:paraId="4F8C2FF7" w14:textId="1ABBE7DC"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Τα πιστωτικά ιδρύματα αναφέρουν εδώ το μέρος των πράξεων ανταλλαγής εξασφαλίσεων με εναπομένουσα ληκτότητα που δεν υπερβαίνει τις 30 ημέρες, όταν ο αντισυμβαλλόμενος είναι κεντρική τράπεζα, η εξασφάλιση που παρέχεται ως δάνειο είναι εξασφάλιση επιπέδου 1, εξαιρουμένων των εξαιρετικά υψηλής ποιότητας καλυμμένων ομολόγων, και πληροί τις λειτουργικές απαιτήσεις που ορίζονται στο άρθρο 8 του κατ’ εξουσιοδότηση κανονισμού (ΕΕ) 2015/61, και όταν οι σχετικές πράξεις εξαιρούνται από την εφαρμογή του άρθρου 17 παράγραφοι 2 και 3 του κατ’ εξουσιοδότηση κανονισμού (ΕΕ) 2015/61 βάσει του άρθρου 17 παράγραφος 4 του εν λόγω κανονισμού.</w:t>
            </w:r>
          </w:p>
        </w:tc>
      </w:tr>
      <w:tr w:rsidR="00B47B7D" w:rsidRPr="000B6B22" w14:paraId="419493ED" w14:textId="77777777" w:rsidTr="0039321F">
        <w:tc>
          <w:tcPr>
            <w:tcW w:w="703" w:type="dxa"/>
            <w:shd w:val="clear" w:color="auto" w:fill="FFFFFF"/>
            <w:vAlign w:val="center"/>
          </w:tcPr>
          <w:p w14:paraId="69AF0D3E" w14:textId="64E9CF1F" w:rsidR="00F71050" w:rsidRPr="000B6B22" w:rsidRDefault="008D0A41">
            <w:pPr>
              <w:spacing w:before="0"/>
              <w:rPr>
                <w:rFonts w:ascii="Times New Roman" w:eastAsia="PMingLiU" w:hAnsi="Times New Roman"/>
                <w:bCs/>
                <w:sz w:val="24"/>
              </w:rPr>
            </w:pPr>
            <w:r>
              <w:rPr>
                <w:rFonts w:ascii="Times New Roman" w:hAnsi="Times New Roman"/>
                <w:sz w:val="24"/>
              </w:rPr>
              <w:t>2800</w:t>
            </w:r>
          </w:p>
        </w:tc>
        <w:tc>
          <w:tcPr>
            <w:tcW w:w="7371" w:type="dxa"/>
            <w:shd w:val="clear" w:color="auto" w:fill="FFFFFF"/>
          </w:tcPr>
          <w:p w14:paraId="266E001D" w14:textId="2E9C1DC0"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5.6. εκ των οποίων: οι εξασφαλίσεις που παρέχονται ως δάνειο είναι ΕΥΠΚΟ επιπέδου 1</w:t>
            </w:r>
          </w:p>
          <w:p w14:paraId="5CAF0661" w14:textId="646418D9"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lastRenderedPageBreak/>
              <w:t>Τα πιστωτικά ιδρύματα αναφέρουν εδώ το μέρος των πράξεων ανταλλαγής εξασφαλίσεων με εναπομένουσα ληκτότητα που δεν υπερβαίνει τις 30 ημέρες, όταν ο αντισυμβαλλόμενος είναι κεντρική τράπεζα, η εξασφάλιση που παρέχεται ως δάνειο είναι εξασφάλιση επιπέδου 1 που συνίσταται σε εξαιρετικά υψηλής ποιότητας καλυμμένα ομόλογα και πληροί τις λειτουργικές απαιτήσεις που ορίζονται στο άρθρο 8 του κατ’ εξουσιοδότηση κανονισμού (ΕΕ) 2015/61, και όταν οι σχετικές πράξεις εξαιρούνται από την εφαρμογή του άρθρου 17 παράγραφοι 2 και 3 του κατ’ εξουσιοδότηση κανονισμού (ΕΕ) 2015/61 βάσει του άρθρου 17 παράγραφος 4 του εν λόγω κανονισμού.</w:t>
            </w:r>
          </w:p>
        </w:tc>
      </w:tr>
      <w:tr w:rsidR="00B47B7D" w:rsidRPr="000B6B22" w14:paraId="646CC191" w14:textId="77777777" w:rsidTr="0039321F">
        <w:tc>
          <w:tcPr>
            <w:tcW w:w="703" w:type="dxa"/>
            <w:shd w:val="clear" w:color="auto" w:fill="FFFFFF"/>
            <w:vAlign w:val="center"/>
          </w:tcPr>
          <w:p w14:paraId="7BFBB905" w14:textId="78BBBDDD" w:rsidR="00F71050" w:rsidRPr="000B6B22" w:rsidRDefault="008D0A41">
            <w:pPr>
              <w:spacing w:before="0"/>
              <w:rPr>
                <w:rFonts w:ascii="Times New Roman" w:eastAsia="PMingLiU" w:hAnsi="Times New Roman"/>
                <w:bCs/>
                <w:sz w:val="24"/>
              </w:rPr>
            </w:pPr>
            <w:r>
              <w:rPr>
                <w:rFonts w:ascii="Times New Roman" w:hAnsi="Times New Roman"/>
                <w:sz w:val="24"/>
              </w:rPr>
              <w:lastRenderedPageBreak/>
              <w:t>2810</w:t>
            </w:r>
          </w:p>
        </w:tc>
        <w:tc>
          <w:tcPr>
            <w:tcW w:w="7371" w:type="dxa"/>
            <w:shd w:val="clear" w:color="auto" w:fill="FFFFFF"/>
          </w:tcPr>
          <w:p w14:paraId="303B98C6" w14:textId="362E172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5.7. εκ των οποίων: οι εξασφαλίσεις που παρέχονται ως δάνειο είναι επιπέδου 2A</w:t>
            </w:r>
          </w:p>
          <w:p w14:paraId="0B7D63DD" w14:textId="06B63390"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Τα πιστωτικά ιδρύματα αναφέρουν εδώ το μέρος των πράξεων ανταλλαγής εξασφαλίσεων με εναπομένουσα ληκτότητα που δεν υπερβαίνει τις 30 ημέρες, όταν ο αντισυμβαλλόμενος είναι κεντρική τράπεζα, η εξασφάλιση που παρέχεται ως δάνειο είναι εξασφάλιση επιπέδου 2Α και πληροί τις λειτουργικές απαιτήσεις που ορίζονται στο άρθρο 8 του κατ’ εξουσιοδότηση κανονισμού (ΕΕ) 2015/61, και όταν οι σχετικές πράξεις εξαιρούνται από την εφαρμογή του άρθρου 17 παράγραφοι 2 και 3 του κατ’ εξουσιοδότηση κανονισμού (ΕΕ) 2015/61 βάσει του άρθρου 17 παράγραφος 4 του εν λόγω κανονισμού.</w:t>
            </w:r>
          </w:p>
        </w:tc>
      </w:tr>
      <w:tr w:rsidR="00B47B7D" w:rsidRPr="000B6B22" w14:paraId="67180475" w14:textId="77777777" w:rsidTr="0039321F">
        <w:tc>
          <w:tcPr>
            <w:tcW w:w="703" w:type="dxa"/>
            <w:shd w:val="clear" w:color="auto" w:fill="FFFFFF"/>
            <w:vAlign w:val="center"/>
          </w:tcPr>
          <w:p w14:paraId="3B4ABEED" w14:textId="556FACD0" w:rsidR="00F71050" w:rsidRPr="000B6B22" w:rsidRDefault="008D0A41">
            <w:pPr>
              <w:spacing w:before="0"/>
              <w:rPr>
                <w:rFonts w:ascii="Times New Roman" w:eastAsia="PMingLiU" w:hAnsi="Times New Roman"/>
                <w:bCs/>
                <w:sz w:val="24"/>
              </w:rPr>
            </w:pPr>
            <w:r>
              <w:rPr>
                <w:rFonts w:ascii="Times New Roman" w:hAnsi="Times New Roman"/>
                <w:sz w:val="24"/>
              </w:rPr>
              <w:t>2820</w:t>
            </w:r>
          </w:p>
        </w:tc>
        <w:tc>
          <w:tcPr>
            <w:tcW w:w="7371" w:type="dxa"/>
            <w:shd w:val="clear" w:color="auto" w:fill="FFFFFF"/>
          </w:tcPr>
          <w:p w14:paraId="29406BF2" w14:textId="213A38AA"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5.8. εκ των οποίων: οι εξασφαλίσεις που παρέχονται ως δάνειο είναι επιπέδου 2B</w:t>
            </w:r>
          </w:p>
          <w:p w14:paraId="0AB1EE84" w14:textId="6ECBDE46"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Τα πιστωτικά ιδρύματα αναφέρουν εδώ το μέρος των πράξεων ανταλλαγής εξασφαλίσεων με εναπομένουσα ληκτότητα που δεν υπερβαίνει τις 30 ημέρες, όταν ο αντισυμβαλλόμενος είναι κεντρική τράπεζα, η εξασφάλιση που παρέχεται ως δάνειο είναι εξασφάλιση επιπέδου 2Β και πληροί τις λειτουργικές απαιτήσεις που ορίζονται στο άρθρο 8 του κατ’ εξουσιοδότηση κανονισμού (ΕΕ) 2015/61, και όταν οι σχετικές πράξεις εξαιρούνται από την εφαρμογή του άρθρου 17 παράγραφοι 2 και 3 του κατ’ εξουσιοδότηση κανονισμού (ΕΕ) 2015/61 βάσει του άρθρου 17 παράγραφος 4 του εν λόγω κανονισμού.</w:t>
            </w:r>
          </w:p>
        </w:tc>
      </w:tr>
    </w:tbl>
    <w:p w14:paraId="1F6FF9C9" w14:textId="77777777" w:rsidR="00F71050" w:rsidRPr="000B6B22" w:rsidRDefault="00F71050">
      <w:pPr>
        <w:spacing w:before="0"/>
        <w:rPr>
          <w:rFonts w:ascii="Times New Roman" w:eastAsia="PMingLiU" w:hAnsi="Times New Roman"/>
          <w:sz w:val="24"/>
        </w:rPr>
      </w:pPr>
    </w:p>
    <w:p w14:paraId="613643E7" w14:textId="77777777" w:rsidR="009D4EFF" w:rsidRDefault="009D4EFF">
      <w:pPr>
        <w:spacing w:before="0" w:after="160" w:line="259" w:lineRule="auto"/>
        <w:jc w:val="left"/>
        <w:rPr>
          <w:rFonts w:ascii="Times New Roman" w:hAnsi="Times New Roman"/>
          <w:b/>
          <w:sz w:val="24"/>
        </w:rPr>
      </w:pPr>
      <w:r>
        <w:br w:type="page"/>
      </w:r>
    </w:p>
    <w:p w14:paraId="3576CE63" w14:textId="42AF7C09" w:rsidR="00881B4D" w:rsidRPr="000B6B22" w:rsidRDefault="009D4EFF" w:rsidP="009D4EFF">
      <w:pPr>
        <w:spacing w:before="0"/>
        <w:rPr>
          <w:rFonts w:ascii="Times New Roman" w:hAnsi="Times New Roman"/>
          <w:b/>
          <w:sz w:val="24"/>
        </w:rPr>
      </w:pPr>
      <w:r>
        <w:rPr>
          <w:rFonts w:ascii="Times New Roman" w:hAnsi="Times New Roman"/>
          <w:b/>
          <w:sz w:val="24"/>
        </w:rPr>
        <w:lastRenderedPageBreak/>
        <w:t>ΜΕΡΟΣ 5: ΥΠΟΛΟΓΙΣΜΟΙ</w:t>
      </w:r>
    </w:p>
    <w:p w14:paraId="29D88EDF" w14:textId="1E1B0AC2" w:rsidR="00881B4D" w:rsidRPr="000B6B22" w:rsidRDefault="0062009E">
      <w:pPr>
        <w:keepNext/>
        <w:spacing w:before="0"/>
        <w:ind w:left="357" w:hanging="357"/>
        <w:outlineLvl w:val="1"/>
        <w:rPr>
          <w:rFonts w:ascii="Times New Roman" w:hAnsi="Times New Roman"/>
          <w:sz w:val="24"/>
        </w:rPr>
      </w:pPr>
      <w:r>
        <w:rPr>
          <w:rFonts w:ascii="Times New Roman" w:hAnsi="Times New Roman"/>
          <w:sz w:val="24"/>
        </w:rPr>
        <w:t>1.</w:t>
      </w:r>
      <w:r>
        <w:tab/>
      </w:r>
      <w:r>
        <w:rPr>
          <w:rFonts w:ascii="Times New Roman" w:hAnsi="Times New Roman"/>
          <w:sz w:val="24"/>
        </w:rPr>
        <w:t>Υπολογισμοί</w:t>
      </w:r>
    </w:p>
    <w:p w14:paraId="73EDD1DB" w14:textId="0E787A8A" w:rsidR="00881B4D" w:rsidRPr="000B6B22" w:rsidRDefault="0062009E">
      <w:pPr>
        <w:keepNext/>
        <w:spacing w:before="0"/>
        <w:ind w:left="357" w:hanging="357"/>
        <w:outlineLvl w:val="1"/>
        <w:rPr>
          <w:rFonts w:ascii="Times New Roman" w:hAnsi="Times New Roman"/>
          <w:sz w:val="24"/>
        </w:rPr>
      </w:pPr>
      <w:r>
        <w:rPr>
          <w:rFonts w:ascii="Times New Roman" w:hAnsi="Times New Roman"/>
          <w:sz w:val="24"/>
        </w:rPr>
        <w:t>1.1.</w:t>
      </w:r>
      <w:r>
        <w:tab/>
      </w:r>
      <w:r>
        <w:rPr>
          <w:rFonts w:ascii="Times New Roman" w:hAnsi="Times New Roman"/>
          <w:sz w:val="24"/>
        </w:rPr>
        <w:t>Γενικές παρατηρήσεις</w:t>
      </w:r>
    </w:p>
    <w:p w14:paraId="0598BE64" w14:textId="3F01AD3D" w:rsidR="00881B4D" w:rsidRPr="000B6B22" w:rsidRDefault="00881B4D">
      <w:pPr>
        <w:pStyle w:val="InstructionsText2"/>
        <w:numPr>
          <w:ilvl w:val="0"/>
          <w:numId w:val="115"/>
        </w:numPr>
        <w:spacing w:after="120"/>
        <w:rPr>
          <w:rFonts w:cs="Times New Roman"/>
          <w:sz w:val="24"/>
          <w:szCs w:val="24"/>
        </w:rPr>
      </w:pPr>
      <w:r>
        <w:rPr>
          <w:sz w:val="24"/>
        </w:rPr>
        <w:t>Το παρόν είναι ένα συνοπτικό υπόδειγμα που περιέχει πληροφορίες όσον αφορά τους υπολογισμούς για την υποβολή αναφορών σχετικά με την απαίτηση κάλυψης του κινδύνου ρευστότητας, όπως ορίζεται στον κατ’ εξουσιοδότηση κανονισμό (ΕΕ) 2015/61. Τα στοιχεία που δεν χρειάζεται να συμπληρωθούν από τα ιδρύματα χρωματίζονται με γκρι.</w:t>
      </w:r>
    </w:p>
    <w:p w14:paraId="4FCCB14F" w14:textId="3E5FE456" w:rsidR="00881B4D" w:rsidRPr="000B6B22" w:rsidRDefault="0062009E">
      <w:pPr>
        <w:keepNext/>
        <w:spacing w:before="0"/>
        <w:ind w:left="357" w:hanging="357"/>
        <w:outlineLvl w:val="1"/>
        <w:rPr>
          <w:rFonts w:ascii="Times New Roman" w:hAnsi="Times New Roman"/>
          <w:sz w:val="24"/>
        </w:rPr>
      </w:pPr>
      <w:r>
        <w:rPr>
          <w:rFonts w:ascii="Times New Roman" w:hAnsi="Times New Roman"/>
          <w:sz w:val="24"/>
        </w:rPr>
        <w:t>1.2.</w:t>
      </w:r>
      <w:r>
        <w:tab/>
      </w:r>
      <w:r>
        <w:rPr>
          <w:rFonts w:ascii="Times New Roman" w:hAnsi="Times New Roman"/>
          <w:sz w:val="24"/>
        </w:rPr>
        <w:t>Ειδικές παρατηρήσεις</w:t>
      </w:r>
    </w:p>
    <w:p w14:paraId="7ABAF944" w14:textId="45E30863" w:rsidR="00881B4D" w:rsidRPr="000B6B22" w:rsidRDefault="00881B4D">
      <w:pPr>
        <w:pStyle w:val="InstructionsText2"/>
        <w:spacing w:after="120"/>
        <w:rPr>
          <w:rFonts w:cs="Times New Roman"/>
          <w:sz w:val="24"/>
          <w:szCs w:val="24"/>
        </w:rPr>
      </w:pPr>
      <w:r>
        <w:rPr>
          <w:sz w:val="24"/>
        </w:rPr>
        <w:t>Στοιχεία για τα κελιά παρέχονται με τη μορφή: υπόδειγμα· γραμμή· στήλη. Για παράδειγμα, το {C 72.00, r0130, c0040} αναφέρεται σε υπόδειγμα ρευστών στοιχείων ενεργητικού· γραμμή 0130· στήλη 0040.</w:t>
      </w:r>
    </w:p>
    <w:p w14:paraId="491C11F3" w14:textId="519C85E8" w:rsidR="006D2EB6" w:rsidRPr="000B6B22" w:rsidRDefault="0062009E" w:rsidP="009D4EFF">
      <w:pPr>
        <w:keepNext/>
        <w:spacing w:before="0"/>
        <w:ind w:left="357" w:hanging="357"/>
        <w:outlineLvl w:val="1"/>
        <w:rPr>
          <w:rFonts w:ascii="Times New Roman" w:hAnsi="Times New Roman"/>
          <w:sz w:val="24"/>
        </w:rPr>
      </w:pPr>
      <w:r>
        <w:rPr>
          <w:rFonts w:ascii="Times New Roman" w:hAnsi="Times New Roman"/>
          <w:sz w:val="24"/>
        </w:rPr>
        <w:t>1.3.</w:t>
      </w:r>
      <w:r>
        <w:tab/>
      </w:r>
      <w:r>
        <w:rPr>
          <w:rFonts w:ascii="Times New Roman" w:hAnsi="Times New Roman"/>
          <w:sz w:val="24"/>
        </w:rPr>
        <w:t>Μέρος υποδείγματος για τους υπολογισμούς – Οδηγίες για συγκεκριμένες γραμμές</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1"/>
        <w:gridCol w:w="8"/>
      </w:tblGrid>
      <w:tr w:rsidR="00B47B7D" w:rsidRPr="000B6B22" w14:paraId="7F43DA2F" w14:textId="77777777" w:rsidTr="00CB45E9">
        <w:tc>
          <w:tcPr>
            <w:tcW w:w="1099" w:type="dxa"/>
            <w:shd w:val="clear" w:color="auto" w:fill="E6E6E6"/>
            <w:vAlign w:val="center"/>
          </w:tcPr>
          <w:p w14:paraId="06AB03B0" w14:textId="77777777" w:rsidR="00881B4D" w:rsidRPr="000B6B22" w:rsidRDefault="00881B4D" w:rsidP="009D4EFF">
            <w:pPr>
              <w:spacing w:before="0"/>
              <w:rPr>
                <w:rFonts w:ascii="Times New Roman" w:hAnsi="Times New Roman"/>
                <w:b/>
                <w:bCs/>
                <w:sz w:val="24"/>
              </w:rPr>
            </w:pPr>
            <w:r>
              <w:rPr>
                <w:rFonts w:ascii="Times New Roman" w:hAnsi="Times New Roman"/>
                <w:b/>
                <w:sz w:val="24"/>
              </w:rPr>
              <w:t>Γραμμή</w:t>
            </w:r>
          </w:p>
        </w:tc>
        <w:tc>
          <w:tcPr>
            <w:tcW w:w="7379" w:type="dxa"/>
            <w:gridSpan w:val="2"/>
            <w:shd w:val="clear" w:color="auto" w:fill="E6E6E6"/>
            <w:vAlign w:val="center"/>
          </w:tcPr>
          <w:p w14:paraId="69B92817" w14:textId="77777777" w:rsidR="00881B4D" w:rsidRPr="000B6B22" w:rsidRDefault="00881B4D" w:rsidP="009D4EFF">
            <w:pPr>
              <w:spacing w:before="0"/>
              <w:rPr>
                <w:rFonts w:ascii="Times New Roman" w:eastAsia="SimSun" w:hAnsi="Times New Roman"/>
                <w:b/>
                <w:sz w:val="24"/>
              </w:rPr>
            </w:pPr>
            <w:r>
              <w:rPr>
                <w:rFonts w:ascii="Times New Roman" w:hAnsi="Times New Roman"/>
                <w:b/>
                <w:sz w:val="24"/>
              </w:rPr>
              <w:t>Νομικά κείμενα αναφοράς και οδηγίες</w:t>
            </w:r>
          </w:p>
        </w:tc>
      </w:tr>
      <w:tr w:rsidR="00B47B7D" w:rsidRPr="000B6B22" w14:paraId="170E298A" w14:textId="77777777" w:rsidTr="00454544">
        <w:trPr>
          <w:gridAfter w:val="1"/>
          <w:wAfter w:w="8" w:type="dxa"/>
        </w:trPr>
        <w:tc>
          <w:tcPr>
            <w:tcW w:w="8470" w:type="dxa"/>
            <w:gridSpan w:val="2"/>
            <w:shd w:val="clear" w:color="auto" w:fill="E6E6E6"/>
            <w:vAlign w:val="center"/>
          </w:tcPr>
          <w:p w14:paraId="6916497D" w14:textId="77777777" w:rsidR="00881B4D" w:rsidRPr="000B6B22" w:rsidRDefault="00881B4D">
            <w:pPr>
              <w:spacing w:before="0"/>
              <w:rPr>
                <w:rFonts w:ascii="Times New Roman" w:hAnsi="Times New Roman"/>
                <w:b/>
                <w:bCs/>
                <w:sz w:val="24"/>
              </w:rPr>
            </w:pPr>
            <w:r>
              <w:rPr>
                <w:rFonts w:ascii="Times New Roman" w:hAnsi="Times New Roman"/>
                <w:b/>
                <w:sz w:val="24"/>
              </w:rPr>
              <w:t>ΥΠΟΛΟΓΙΣΜΟΙ</w:t>
            </w:r>
          </w:p>
        </w:tc>
      </w:tr>
      <w:tr w:rsidR="00B47B7D" w:rsidRPr="000B6B22" w14:paraId="59AE932B" w14:textId="77777777" w:rsidTr="00454544">
        <w:trPr>
          <w:gridAfter w:val="1"/>
          <w:wAfter w:w="8" w:type="dxa"/>
        </w:trPr>
        <w:tc>
          <w:tcPr>
            <w:tcW w:w="8470" w:type="dxa"/>
            <w:gridSpan w:val="2"/>
            <w:shd w:val="clear" w:color="auto" w:fill="E6E6E6"/>
            <w:vAlign w:val="center"/>
          </w:tcPr>
          <w:p w14:paraId="155C408B" w14:textId="77777777" w:rsidR="00881B4D" w:rsidRPr="000B6B22" w:rsidRDefault="00881B4D">
            <w:pPr>
              <w:spacing w:before="0"/>
              <w:rPr>
                <w:rFonts w:ascii="Times New Roman" w:hAnsi="Times New Roman"/>
                <w:b/>
                <w:bCs/>
                <w:sz w:val="24"/>
              </w:rPr>
            </w:pPr>
            <w:r>
              <w:rPr>
                <w:rFonts w:ascii="Times New Roman" w:hAnsi="Times New Roman"/>
                <w:b/>
                <w:sz w:val="24"/>
              </w:rPr>
              <w:t>Αριθμητής, παρονομαστής, ποσοστό</w:t>
            </w:r>
          </w:p>
          <w:p w14:paraId="0F24CAD3" w14:textId="26C4FC6A" w:rsidR="00881B4D" w:rsidRPr="000B6B22" w:rsidRDefault="00881B4D" w:rsidP="009D4EFF">
            <w:pPr>
              <w:spacing w:before="0"/>
              <w:ind w:left="33"/>
              <w:rPr>
                <w:rFonts w:ascii="Times New Roman" w:hAnsi="Times New Roman"/>
                <w:sz w:val="24"/>
              </w:rPr>
            </w:pPr>
            <w:r>
              <w:rPr>
                <w:rFonts w:ascii="Times New Roman" w:hAnsi="Times New Roman"/>
                <w:sz w:val="24"/>
              </w:rPr>
              <w:t>Άρθρο 4 του κατ’ εξουσιοδότηση κανονισμού (ΕΕ) 2015/61</w:t>
            </w:r>
          </w:p>
          <w:p w14:paraId="1185A838" w14:textId="77777777" w:rsidR="00881B4D" w:rsidRPr="000B6B22" w:rsidRDefault="00881B4D" w:rsidP="009D4EFF">
            <w:pPr>
              <w:spacing w:before="0"/>
              <w:ind w:left="33"/>
              <w:rPr>
                <w:rFonts w:ascii="Times New Roman" w:hAnsi="Times New Roman"/>
                <w:sz w:val="24"/>
              </w:rPr>
            </w:pPr>
            <w:r>
              <w:rPr>
                <w:rFonts w:ascii="Times New Roman" w:hAnsi="Times New Roman"/>
                <w:sz w:val="24"/>
              </w:rPr>
              <w:t>Αριθμητής, παρονομαστής και ποσοστό του δείκτη κάλυψης ρευστότητας.</w:t>
            </w:r>
          </w:p>
          <w:p w14:paraId="4F931C39" w14:textId="31C587FF" w:rsidR="00881B4D" w:rsidRPr="000B6B22" w:rsidRDefault="00881B4D" w:rsidP="009D4EFF">
            <w:pPr>
              <w:spacing w:before="0"/>
              <w:ind w:left="33"/>
              <w:rPr>
                <w:rFonts w:ascii="Times New Roman" w:hAnsi="Times New Roman"/>
                <w:sz w:val="24"/>
              </w:rPr>
            </w:pPr>
            <w:r>
              <w:rPr>
                <w:rFonts w:ascii="Times New Roman" w:hAnsi="Times New Roman"/>
                <w:sz w:val="24"/>
              </w:rPr>
              <w:t>Εισάγετε όλα τα κατωτέρω στοιχεία στη στήλη 0010 της συγκεκριμένης γραμμής.</w:t>
            </w:r>
          </w:p>
        </w:tc>
      </w:tr>
      <w:tr w:rsidR="00B47B7D" w:rsidRPr="000B6B22" w14:paraId="3FE32B66" w14:textId="77777777" w:rsidTr="00454544">
        <w:tc>
          <w:tcPr>
            <w:tcW w:w="1099" w:type="dxa"/>
            <w:vAlign w:val="center"/>
          </w:tcPr>
          <w:p w14:paraId="1950B802" w14:textId="7F5D885C" w:rsidR="00881B4D" w:rsidRPr="000B6B22" w:rsidRDefault="00DF552C" w:rsidP="009D4EFF">
            <w:pPr>
              <w:spacing w:before="0"/>
              <w:rPr>
                <w:rFonts w:ascii="Times New Roman" w:hAnsi="Times New Roman"/>
                <w:sz w:val="24"/>
              </w:rPr>
            </w:pPr>
            <w:r>
              <w:rPr>
                <w:rFonts w:ascii="Times New Roman" w:hAnsi="Times New Roman"/>
                <w:sz w:val="24"/>
              </w:rPr>
              <w:t>0010</w:t>
            </w:r>
          </w:p>
        </w:tc>
        <w:tc>
          <w:tcPr>
            <w:tcW w:w="7379" w:type="dxa"/>
            <w:gridSpan w:val="2"/>
          </w:tcPr>
          <w:p w14:paraId="48AFE0F8" w14:textId="77777777" w:rsidR="00881B4D" w:rsidRPr="000B6B22" w:rsidRDefault="00881B4D" w:rsidP="009D4EFF">
            <w:pPr>
              <w:spacing w:before="0"/>
              <w:ind w:left="-40"/>
              <w:rPr>
                <w:rFonts w:ascii="Times New Roman" w:hAnsi="Times New Roman"/>
                <w:b/>
                <w:bCs/>
                <w:sz w:val="24"/>
              </w:rPr>
            </w:pPr>
            <w:r>
              <w:rPr>
                <w:rFonts w:ascii="Times New Roman" w:hAnsi="Times New Roman"/>
                <w:b/>
                <w:sz w:val="24"/>
              </w:rPr>
              <w:t>1.</w:t>
            </w:r>
            <w:r>
              <w:rPr>
                <w:rFonts w:ascii="Times New Roman" w:hAnsi="Times New Roman"/>
                <w:sz w:val="24"/>
              </w:rPr>
              <w:t xml:space="preserve"> </w:t>
            </w:r>
            <w:r>
              <w:rPr>
                <w:rFonts w:ascii="Times New Roman" w:hAnsi="Times New Roman"/>
                <w:b/>
                <w:sz w:val="24"/>
              </w:rPr>
              <w:t>Απόθεμα ασφαλείας ρευστότητας</w:t>
            </w:r>
          </w:p>
          <w:p w14:paraId="4741BC57" w14:textId="747587BE" w:rsidR="00881B4D" w:rsidRPr="000B6B22" w:rsidRDefault="00D226C2" w:rsidP="009D4EFF">
            <w:pPr>
              <w:spacing w:before="0"/>
              <w:ind w:left="-40"/>
              <w:rPr>
                <w:rFonts w:ascii="Times New Roman" w:hAnsi="Times New Roman"/>
                <w:bCs/>
                <w:sz w:val="24"/>
              </w:rPr>
            </w:pPr>
            <w:r>
              <w:rPr>
                <w:rFonts w:ascii="Times New Roman" w:hAnsi="Times New Roman"/>
                <w:sz w:val="24"/>
              </w:rPr>
              <w:t>Τα ιδρύματα αναφέρουν την τιμή από {C 76.00, r0290, c0010}.</w:t>
            </w:r>
          </w:p>
        </w:tc>
      </w:tr>
      <w:tr w:rsidR="00B47B7D" w:rsidRPr="000B6B22" w14:paraId="0768C20B" w14:textId="77777777" w:rsidTr="00454544">
        <w:tc>
          <w:tcPr>
            <w:tcW w:w="1099" w:type="dxa"/>
            <w:vAlign w:val="center"/>
          </w:tcPr>
          <w:p w14:paraId="0904C113" w14:textId="27F84608" w:rsidR="00881B4D" w:rsidRPr="000B6B22" w:rsidRDefault="00DF552C" w:rsidP="009D4EFF">
            <w:pPr>
              <w:spacing w:before="0"/>
              <w:rPr>
                <w:rFonts w:ascii="Times New Roman" w:hAnsi="Times New Roman"/>
                <w:sz w:val="24"/>
              </w:rPr>
            </w:pPr>
            <w:r>
              <w:rPr>
                <w:rFonts w:ascii="Times New Roman" w:hAnsi="Times New Roman"/>
                <w:sz w:val="24"/>
              </w:rPr>
              <w:t>0020</w:t>
            </w:r>
          </w:p>
        </w:tc>
        <w:tc>
          <w:tcPr>
            <w:tcW w:w="7379" w:type="dxa"/>
            <w:gridSpan w:val="2"/>
          </w:tcPr>
          <w:p w14:paraId="538B4DE0" w14:textId="5BE58AD1" w:rsidR="00881B4D" w:rsidRPr="000B6B22" w:rsidRDefault="00881B4D" w:rsidP="009D4EFF">
            <w:pPr>
              <w:spacing w:before="0"/>
              <w:ind w:left="-40"/>
              <w:rPr>
                <w:rFonts w:ascii="Times New Roman" w:hAnsi="Times New Roman"/>
                <w:bCs/>
                <w:sz w:val="24"/>
              </w:rPr>
            </w:pPr>
            <w:r>
              <w:rPr>
                <w:rFonts w:ascii="Times New Roman" w:hAnsi="Times New Roman"/>
                <w:b/>
                <w:sz w:val="24"/>
              </w:rPr>
              <w:t>2. Καθαρές εκροές ρευστότητας</w:t>
            </w:r>
          </w:p>
          <w:p w14:paraId="45707C99" w14:textId="212576AA" w:rsidR="00881B4D" w:rsidRPr="000B6B22" w:rsidRDefault="00D226C2" w:rsidP="009D4EFF">
            <w:pPr>
              <w:spacing w:before="0"/>
              <w:ind w:left="-40"/>
              <w:rPr>
                <w:rFonts w:ascii="Times New Roman" w:hAnsi="Times New Roman"/>
                <w:bCs/>
                <w:sz w:val="24"/>
              </w:rPr>
            </w:pPr>
            <w:r>
              <w:rPr>
                <w:rFonts w:ascii="Times New Roman" w:hAnsi="Times New Roman"/>
                <w:sz w:val="24"/>
              </w:rPr>
              <w:t>Τα ιδρύματα αναφέρουν την τιμή από {C 76.00, r0370, c0010}.</w:t>
            </w:r>
          </w:p>
        </w:tc>
      </w:tr>
      <w:tr w:rsidR="00B47B7D" w:rsidRPr="000B6B22" w14:paraId="1CE8DCB6" w14:textId="77777777" w:rsidTr="00454544">
        <w:tc>
          <w:tcPr>
            <w:tcW w:w="1099" w:type="dxa"/>
            <w:vAlign w:val="center"/>
          </w:tcPr>
          <w:p w14:paraId="58E8C5E9" w14:textId="47F0C8D6" w:rsidR="00881B4D" w:rsidRPr="000B6B22" w:rsidRDefault="00DF552C" w:rsidP="009D4EFF">
            <w:pPr>
              <w:spacing w:before="0"/>
              <w:rPr>
                <w:rFonts w:ascii="Times New Roman" w:hAnsi="Times New Roman"/>
                <w:sz w:val="24"/>
              </w:rPr>
            </w:pPr>
            <w:r>
              <w:rPr>
                <w:rFonts w:ascii="Times New Roman" w:hAnsi="Times New Roman"/>
                <w:sz w:val="24"/>
              </w:rPr>
              <w:t>0030</w:t>
            </w:r>
          </w:p>
        </w:tc>
        <w:tc>
          <w:tcPr>
            <w:tcW w:w="7379" w:type="dxa"/>
            <w:gridSpan w:val="2"/>
          </w:tcPr>
          <w:p w14:paraId="35410DAB" w14:textId="35461C78" w:rsidR="00881B4D" w:rsidRPr="000B6B22" w:rsidRDefault="00881B4D" w:rsidP="009D4EFF">
            <w:pPr>
              <w:spacing w:before="0"/>
              <w:ind w:left="-40"/>
              <w:rPr>
                <w:rFonts w:ascii="Times New Roman" w:hAnsi="Times New Roman"/>
                <w:b/>
                <w:bCs/>
                <w:sz w:val="24"/>
              </w:rPr>
            </w:pPr>
            <w:r>
              <w:rPr>
                <w:rFonts w:ascii="Times New Roman" w:hAnsi="Times New Roman"/>
                <w:b/>
                <w:sz w:val="24"/>
              </w:rPr>
              <w:t>3. Δείκτης κάλυψης ρευστότητας (%)</w:t>
            </w:r>
          </w:p>
          <w:p w14:paraId="37665DB2" w14:textId="0125CDD7" w:rsidR="00881B4D" w:rsidRPr="000B6B22" w:rsidRDefault="00D226C2" w:rsidP="009D4EFF">
            <w:pPr>
              <w:spacing w:before="0"/>
              <w:ind w:left="-40"/>
              <w:rPr>
                <w:rFonts w:ascii="Times New Roman" w:hAnsi="Times New Roman"/>
                <w:bCs/>
                <w:sz w:val="24"/>
              </w:rPr>
            </w:pPr>
            <w:r>
              <w:rPr>
                <w:rFonts w:ascii="Times New Roman" w:hAnsi="Times New Roman"/>
                <w:sz w:val="24"/>
              </w:rPr>
              <w:t>Τα ιδρύματα αναφέρουν τον δείκτη κάλυψης ρευστότητας που υπολογίζεται σύμφωνα με το άρθρο 4 παράγραφος 1 του κατ’ εξουσιοδότηση κανονισμού (ΕΕ) 2015/61.</w:t>
            </w:r>
          </w:p>
          <w:p w14:paraId="4A93231B" w14:textId="22566269" w:rsidR="00881B4D" w:rsidRPr="000B6B22" w:rsidRDefault="00881B4D" w:rsidP="009D4EFF">
            <w:pPr>
              <w:autoSpaceDE w:val="0"/>
              <w:autoSpaceDN w:val="0"/>
              <w:adjustRightInd w:val="0"/>
              <w:spacing w:before="0"/>
              <w:ind w:left="-40"/>
              <w:rPr>
                <w:rFonts w:ascii="Times New Roman" w:hAnsi="Times New Roman"/>
                <w:sz w:val="24"/>
              </w:rPr>
            </w:pPr>
            <w:r>
              <w:rPr>
                <w:rFonts w:ascii="Times New Roman" w:hAnsi="Times New Roman"/>
                <w:sz w:val="24"/>
              </w:rPr>
              <w:t>Ο δείκτης κάλυψης ρευστότητας ισούται με τον λόγο του αποθέματος ασφαλείας ρευστότητας του πιστωτικού ιδρύματος προς τις καθαρές εκροές ρευστότητάς του κατά τη διάρκεια μιας περιόδου ακραίων συνθηκών 30 ημερολογιακών ημερών και εκφράζεται ως ποσοστό.</w:t>
            </w:r>
          </w:p>
          <w:p w14:paraId="3D48621E" w14:textId="670A1D8D" w:rsidR="00881B4D" w:rsidRPr="000B6B22" w:rsidRDefault="00881B4D" w:rsidP="009D4EFF">
            <w:pPr>
              <w:spacing w:before="0"/>
              <w:ind w:left="-40"/>
              <w:rPr>
                <w:rFonts w:ascii="Times New Roman" w:hAnsi="Times New Roman"/>
                <w:b/>
                <w:bCs/>
                <w:sz w:val="24"/>
              </w:rPr>
            </w:pPr>
            <w:r>
              <w:rPr>
                <w:rFonts w:ascii="Times New Roman" w:hAnsi="Times New Roman"/>
                <w:sz w:val="24"/>
              </w:rPr>
              <w:t>Εάν το {C 76.00, r0020, είναι μηδέν (και κατά συνέπεια ο δείκτης έχει ως τιμή το άπειρο), τότε αναφέρατε την τιμή 999999.</w:t>
            </w:r>
          </w:p>
        </w:tc>
      </w:tr>
      <w:tr w:rsidR="00B47B7D" w:rsidRPr="000B6B22" w14:paraId="0B73D285" w14:textId="77777777" w:rsidTr="00454544">
        <w:tc>
          <w:tcPr>
            <w:tcW w:w="8478" w:type="dxa"/>
            <w:gridSpan w:val="3"/>
            <w:shd w:val="clear" w:color="auto" w:fill="D9D9D9"/>
            <w:vAlign w:val="center"/>
          </w:tcPr>
          <w:p w14:paraId="2C67F45B" w14:textId="77777777" w:rsidR="00881B4D" w:rsidRPr="000B6B22" w:rsidRDefault="00881B4D">
            <w:pPr>
              <w:spacing w:before="0"/>
              <w:ind w:left="56"/>
              <w:rPr>
                <w:rFonts w:ascii="Times New Roman" w:hAnsi="Times New Roman"/>
                <w:b/>
                <w:bCs/>
                <w:sz w:val="24"/>
              </w:rPr>
            </w:pPr>
            <w:r>
              <w:rPr>
                <w:rFonts w:ascii="Times New Roman" w:hAnsi="Times New Roman"/>
                <w:b/>
                <w:sz w:val="24"/>
              </w:rPr>
              <w:t>Υπολογισμοί αριθμητή</w:t>
            </w:r>
          </w:p>
          <w:p w14:paraId="088085AF" w14:textId="0A1C938A" w:rsidR="00881B4D" w:rsidRPr="000B6B22" w:rsidRDefault="00881B4D">
            <w:pPr>
              <w:spacing w:before="0"/>
              <w:ind w:left="56"/>
              <w:rPr>
                <w:rFonts w:ascii="Times New Roman" w:hAnsi="Times New Roman"/>
                <w:sz w:val="24"/>
              </w:rPr>
            </w:pPr>
            <w:r>
              <w:rPr>
                <w:rFonts w:ascii="Times New Roman" w:hAnsi="Times New Roman"/>
                <w:sz w:val="24"/>
              </w:rPr>
              <w:t>Άρθρο 17 και παράρτημα I του κατ’ εξουσιοδότηση κανονισμού (ΕΕ) 2015/61</w:t>
            </w:r>
          </w:p>
          <w:p w14:paraId="45952F84" w14:textId="77777777" w:rsidR="00881B4D" w:rsidRPr="000B6B22" w:rsidRDefault="00881B4D" w:rsidP="009D4EFF">
            <w:pPr>
              <w:spacing w:before="0"/>
              <w:ind w:left="56"/>
              <w:rPr>
                <w:rFonts w:ascii="Times New Roman" w:hAnsi="Times New Roman"/>
                <w:sz w:val="24"/>
              </w:rPr>
            </w:pPr>
            <w:r>
              <w:rPr>
                <w:rFonts w:ascii="Times New Roman" w:hAnsi="Times New Roman"/>
                <w:sz w:val="24"/>
              </w:rPr>
              <w:t>Τύπος για τον υπολογισμό του αποθέματος ασφαλείας ρευστότητας</w:t>
            </w:r>
          </w:p>
          <w:p w14:paraId="22289F4B" w14:textId="0554C0BF" w:rsidR="00881B4D" w:rsidRPr="000B6B22" w:rsidRDefault="00881B4D">
            <w:pPr>
              <w:spacing w:before="0"/>
              <w:ind w:left="56"/>
              <w:rPr>
                <w:rFonts w:ascii="Times New Roman" w:hAnsi="Times New Roman"/>
                <w:sz w:val="24"/>
              </w:rPr>
            </w:pPr>
            <w:r>
              <w:rPr>
                <w:rFonts w:ascii="Times New Roman" w:hAnsi="Times New Roman"/>
                <w:sz w:val="24"/>
              </w:rPr>
              <w:t>Εισάγετε όλα τα κατωτέρω στοιχεία στη στήλη 0010 της συγκεκριμένης γραμμής.</w:t>
            </w:r>
          </w:p>
        </w:tc>
      </w:tr>
      <w:tr w:rsidR="00B47B7D" w:rsidRPr="000B6B22" w14:paraId="1FD9CEB0" w14:textId="77777777" w:rsidTr="00454544">
        <w:tc>
          <w:tcPr>
            <w:tcW w:w="1099" w:type="dxa"/>
            <w:vAlign w:val="center"/>
          </w:tcPr>
          <w:p w14:paraId="755FFCB9" w14:textId="66A6E6EE" w:rsidR="00881B4D" w:rsidRPr="000B6B22" w:rsidRDefault="00DF552C" w:rsidP="009D4EFF">
            <w:pPr>
              <w:spacing w:before="0"/>
              <w:rPr>
                <w:rFonts w:ascii="Times New Roman" w:hAnsi="Times New Roman"/>
                <w:sz w:val="24"/>
              </w:rPr>
            </w:pPr>
            <w:r>
              <w:rPr>
                <w:rFonts w:ascii="Times New Roman" w:hAnsi="Times New Roman"/>
                <w:sz w:val="24"/>
              </w:rPr>
              <w:lastRenderedPageBreak/>
              <w:t>0040</w:t>
            </w:r>
          </w:p>
        </w:tc>
        <w:tc>
          <w:tcPr>
            <w:tcW w:w="7379" w:type="dxa"/>
            <w:gridSpan w:val="2"/>
          </w:tcPr>
          <w:p w14:paraId="0CD8098E" w14:textId="1F7307ED" w:rsidR="00881B4D" w:rsidRPr="000B6B22" w:rsidRDefault="00881B4D" w:rsidP="009D4EFF">
            <w:pPr>
              <w:spacing w:before="0"/>
              <w:ind w:left="-40"/>
              <w:rPr>
                <w:rFonts w:ascii="Times New Roman" w:hAnsi="Times New Roman"/>
                <w:bCs/>
                <w:sz w:val="24"/>
              </w:rPr>
            </w:pPr>
            <w:r>
              <w:rPr>
                <w:rFonts w:ascii="Times New Roman" w:hAnsi="Times New Roman"/>
                <w:b/>
                <w:sz w:val="24"/>
              </w:rPr>
              <w:t>4. Απόθεμα ασφαλείας ρευστότητας στοιχείων ενεργητικού επιπέδου 1, εξαιρουμένων των ΕΥΠΚΟ (αξία σύμφωνα με το άρθρο 9): μη προσαρμοσμένη</w:t>
            </w:r>
          </w:p>
          <w:p w14:paraId="4C637DB1" w14:textId="7BD6215A" w:rsidR="00881B4D" w:rsidRPr="000B6B22" w:rsidRDefault="00D226C2" w:rsidP="009D4EFF">
            <w:pPr>
              <w:spacing w:before="0"/>
              <w:ind w:left="-40"/>
              <w:rPr>
                <w:rFonts w:ascii="Times New Roman" w:hAnsi="Times New Roman"/>
                <w:bCs/>
                <w:sz w:val="24"/>
              </w:rPr>
            </w:pPr>
            <w:r>
              <w:rPr>
                <w:rFonts w:ascii="Times New Roman" w:hAnsi="Times New Roman"/>
                <w:sz w:val="24"/>
              </w:rPr>
              <w:t>Τα ιδρύματα αναφέρουν την τιμή από {C 72.00, r0030, c0040}.</w:t>
            </w:r>
          </w:p>
        </w:tc>
      </w:tr>
      <w:tr w:rsidR="00B47B7D" w:rsidRPr="000B6B22" w14:paraId="3DA974A0" w14:textId="77777777" w:rsidTr="00454544">
        <w:tc>
          <w:tcPr>
            <w:tcW w:w="1099" w:type="dxa"/>
            <w:vAlign w:val="center"/>
          </w:tcPr>
          <w:p w14:paraId="01DAF22F" w14:textId="3B9E4750" w:rsidR="00881B4D" w:rsidRPr="000B6B22" w:rsidRDefault="00DF552C" w:rsidP="009D4EFF">
            <w:pPr>
              <w:spacing w:before="0"/>
              <w:rPr>
                <w:rFonts w:ascii="Times New Roman" w:hAnsi="Times New Roman"/>
                <w:sz w:val="24"/>
              </w:rPr>
            </w:pPr>
            <w:r>
              <w:rPr>
                <w:rFonts w:ascii="Times New Roman" w:hAnsi="Times New Roman"/>
                <w:sz w:val="24"/>
              </w:rPr>
              <w:t>0050</w:t>
            </w:r>
          </w:p>
        </w:tc>
        <w:tc>
          <w:tcPr>
            <w:tcW w:w="7379" w:type="dxa"/>
            <w:gridSpan w:val="2"/>
          </w:tcPr>
          <w:p w14:paraId="67E9D218" w14:textId="5442CC66" w:rsidR="00D226C2" w:rsidRPr="000B6B22" w:rsidRDefault="00881B4D" w:rsidP="009D4EFF">
            <w:pPr>
              <w:spacing w:before="0"/>
              <w:ind w:left="-40"/>
              <w:rPr>
                <w:rFonts w:ascii="Times New Roman" w:hAnsi="Times New Roman"/>
                <w:bCs/>
                <w:sz w:val="24"/>
              </w:rPr>
            </w:pPr>
            <w:r>
              <w:rPr>
                <w:rFonts w:ascii="Times New Roman" w:hAnsi="Times New Roman"/>
                <w:b/>
                <w:sz w:val="24"/>
              </w:rPr>
              <w:t>5. 30 ημερών εκροές εξασφαλίσεων επιπέδου 1, εξαιρουμένων των ΕΥΠΚΟ</w:t>
            </w:r>
          </w:p>
          <w:p w14:paraId="152B6AB6" w14:textId="50EBAD0F" w:rsidR="00881B4D" w:rsidRPr="000B6B22" w:rsidRDefault="00D226C2" w:rsidP="009D4EFF">
            <w:pPr>
              <w:spacing w:before="0"/>
              <w:ind w:left="-40"/>
              <w:rPr>
                <w:rFonts w:ascii="Times New Roman" w:hAnsi="Times New Roman"/>
                <w:bCs/>
                <w:sz w:val="24"/>
              </w:rPr>
            </w:pPr>
            <w:r>
              <w:rPr>
                <w:rFonts w:ascii="Times New Roman" w:hAnsi="Times New Roman"/>
                <w:sz w:val="24"/>
              </w:rPr>
              <w:t>Τα ιδρύματα αναφέρουν εκροές ρευστών τίτλων επιπέδου 1 (εξαιρουμένων των εξαιρετικά υψηλής ποιότητας καλυμμένων ομολόγων) μετά τη διενέργεια κάθε πράξης εξασφαλισμένης χρηματοδότησης, πράξης εξασφαλισμένου δανεισμού ή πράξης ανταλλαγής εξασφαλίσεων που λήγει εντός 30 ημερολογιακών ημερών από την ημερομηνία αναφοράς, εκτός εάν η πράξη απαλλάσσεται σύμφωνα με το άρθρο 17 παράγραφος 4 του κατ’ εξουσιοδότηση κανονισμού (ΕΕ) 2015/61.</w:t>
            </w:r>
          </w:p>
        </w:tc>
      </w:tr>
      <w:tr w:rsidR="00B47B7D" w:rsidRPr="000B6B22" w14:paraId="7380359D" w14:textId="77777777" w:rsidTr="00454544">
        <w:tc>
          <w:tcPr>
            <w:tcW w:w="1099" w:type="dxa"/>
            <w:vAlign w:val="center"/>
          </w:tcPr>
          <w:p w14:paraId="28EBF3EB" w14:textId="15B095DC" w:rsidR="00881B4D" w:rsidRPr="000B6B22" w:rsidRDefault="00DF552C" w:rsidP="009D4EFF">
            <w:pPr>
              <w:spacing w:before="0"/>
              <w:rPr>
                <w:rFonts w:ascii="Times New Roman" w:hAnsi="Times New Roman"/>
                <w:sz w:val="24"/>
              </w:rPr>
            </w:pPr>
            <w:r>
              <w:rPr>
                <w:rFonts w:ascii="Times New Roman" w:hAnsi="Times New Roman"/>
                <w:sz w:val="24"/>
              </w:rPr>
              <w:t>0060</w:t>
            </w:r>
          </w:p>
        </w:tc>
        <w:tc>
          <w:tcPr>
            <w:tcW w:w="7379" w:type="dxa"/>
            <w:gridSpan w:val="2"/>
          </w:tcPr>
          <w:p w14:paraId="3E9A42B6" w14:textId="7C5AEE2A" w:rsidR="00881B4D" w:rsidRPr="000B6B22" w:rsidRDefault="00881B4D" w:rsidP="009D4EFF">
            <w:pPr>
              <w:spacing w:before="0"/>
              <w:ind w:left="-40"/>
              <w:rPr>
                <w:rFonts w:ascii="Times New Roman" w:hAnsi="Times New Roman"/>
                <w:bCs/>
                <w:sz w:val="24"/>
              </w:rPr>
            </w:pPr>
            <w:r>
              <w:rPr>
                <w:rFonts w:ascii="Times New Roman" w:hAnsi="Times New Roman"/>
                <w:b/>
                <w:sz w:val="24"/>
              </w:rPr>
              <w:t>6. 30 ημερών εισροές εξασφαλίσεων επιπέδου 1, εξαιρουμένων των ΕΥΠΚΟ</w:t>
            </w:r>
          </w:p>
          <w:p w14:paraId="3633924C" w14:textId="2432AB11" w:rsidR="00881B4D" w:rsidRPr="000B6B22" w:rsidRDefault="00D226C2" w:rsidP="009D4EFF">
            <w:pPr>
              <w:spacing w:before="0"/>
              <w:ind w:left="-40"/>
              <w:rPr>
                <w:rFonts w:ascii="Times New Roman" w:hAnsi="Times New Roman"/>
                <w:bCs/>
                <w:sz w:val="24"/>
              </w:rPr>
            </w:pPr>
            <w:r>
              <w:rPr>
                <w:rFonts w:ascii="Times New Roman" w:hAnsi="Times New Roman"/>
                <w:sz w:val="24"/>
              </w:rPr>
              <w:t>Τα ιδρύματα αναφέρουν εισροές ρευστών τίτλων επιπέδου 1 (εξαιρουμένων των εξαιρετικά υψηλής ποιότητας καλυμμένων ομολόγων) μετά τη διενέργεια κάθε πράξης εξασφαλισμένης χρηματοδότησης, πράξης εξασφαλισμένου δανεισμού ή πράξης ανταλλαγής εξασφαλίσεων που λήγει εντός 30 ημερολογιακών ημερών από την ημερομηνία αναφοράς, εκτός εάν η πράξη απαλλάσσεται σύμφωνα με το άρθρο 17 παράγραφος 4 του κατ’ εξουσιοδότηση κανονισμού (ΕΕ) 2015/61.</w:t>
            </w:r>
          </w:p>
        </w:tc>
      </w:tr>
      <w:tr w:rsidR="00B47B7D" w:rsidRPr="000B6B22" w14:paraId="02DBCDB8" w14:textId="77777777" w:rsidTr="00454544">
        <w:tc>
          <w:tcPr>
            <w:tcW w:w="1099" w:type="dxa"/>
            <w:vAlign w:val="center"/>
          </w:tcPr>
          <w:p w14:paraId="1895B73B" w14:textId="64B0505C" w:rsidR="00881B4D" w:rsidRPr="000B6B22" w:rsidRDefault="00DF552C" w:rsidP="009D4EFF">
            <w:pPr>
              <w:spacing w:before="0"/>
              <w:rPr>
                <w:rFonts w:ascii="Times New Roman" w:hAnsi="Times New Roman"/>
                <w:sz w:val="24"/>
              </w:rPr>
            </w:pPr>
            <w:r>
              <w:rPr>
                <w:rFonts w:ascii="Times New Roman" w:hAnsi="Times New Roman"/>
                <w:sz w:val="24"/>
              </w:rPr>
              <w:t>0070</w:t>
            </w:r>
          </w:p>
        </w:tc>
        <w:tc>
          <w:tcPr>
            <w:tcW w:w="7379" w:type="dxa"/>
            <w:gridSpan w:val="2"/>
          </w:tcPr>
          <w:p w14:paraId="0656E897" w14:textId="46D96BC4" w:rsidR="00881B4D" w:rsidRPr="000B6B22" w:rsidRDefault="00881B4D" w:rsidP="009D4EFF">
            <w:pPr>
              <w:spacing w:before="0"/>
              <w:ind w:left="-40"/>
              <w:rPr>
                <w:rFonts w:ascii="Times New Roman" w:hAnsi="Times New Roman"/>
                <w:sz w:val="24"/>
              </w:rPr>
            </w:pPr>
            <w:r>
              <w:rPr>
                <w:rFonts w:ascii="Times New Roman" w:hAnsi="Times New Roman"/>
                <w:b/>
                <w:sz w:val="24"/>
              </w:rPr>
              <w:t>7.</w:t>
            </w:r>
            <w:r>
              <w:rPr>
                <w:rFonts w:ascii="Times New Roman" w:hAnsi="Times New Roman"/>
                <w:sz w:val="24"/>
              </w:rPr>
              <w:t xml:space="preserve"> </w:t>
            </w:r>
            <w:r>
              <w:rPr>
                <w:rFonts w:ascii="Times New Roman" w:hAnsi="Times New Roman"/>
                <w:b/>
                <w:sz w:val="24"/>
              </w:rPr>
              <w:t>Εκροές εξασφαλισμένων ρευστών διαθεσίμων</w:t>
            </w:r>
          </w:p>
          <w:p w14:paraId="73AE5ABC" w14:textId="351C8BDD" w:rsidR="00881B4D" w:rsidRPr="000B6B22" w:rsidRDefault="00D226C2" w:rsidP="009D4EFF">
            <w:pPr>
              <w:spacing w:before="0"/>
              <w:ind w:left="-40"/>
              <w:rPr>
                <w:rFonts w:ascii="Times New Roman" w:hAnsi="Times New Roman"/>
                <w:bCs/>
                <w:sz w:val="24"/>
              </w:rPr>
            </w:pPr>
            <w:r>
              <w:rPr>
                <w:rFonts w:ascii="Times New Roman" w:hAnsi="Times New Roman"/>
                <w:sz w:val="24"/>
              </w:rPr>
              <w:t>Τα ιδρύματα αναφέρουν εκροές ρευστών διαθεσίμων (στοιχείο ενεργητικού επιπέδου 1) μετά τη διενέργεια κάθε πράξης εξασφαλισμένης χρηματοδότησης ή πράξης εξασφαλισμένου δανεισμού που λήγει εντός 30 ημερολογιακών ημερών από την ημερομηνία αναφοράς, εκτός εάν η πράξη απαλλάσσεται σύμφωνα με το άρθρο 17 παράγραφος 4 του κατ’ εξουσιοδότηση κανονισμού (ΕΕ) 2015/61.</w:t>
            </w:r>
          </w:p>
        </w:tc>
      </w:tr>
      <w:tr w:rsidR="00B47B7D" w:rsidRPr="000B6B22" w14:paraId="3B56114E" w14:textId="77777777" w:rsidTr="00454544">
        <w:tc>
          <w:tcPr>
            <w:tcW w:w="1099" w:type="dxa"/>
            <w:vAlign w:val="center"/>
          </w:tcPr>
          <w:p w14:paraId="456FC337" w14:textId="44819E90" w:rsidR="00881B4D" w:rsidRPr="000B6B22" w:rsidRDefault="00DF552C" w:rsidP="009D4EFF">
            <w:pPr>
              <w:spacing w:before="0"/>
              <w:rPr>
                <w:rFonts w:ascii="Times New Roman" w:hAnsi="Times New Roman"/>
                <w:sz w:val="24"/>
              </w:rPr>
            </w:pPr>
            <w:r>
              <w:rPr>
                <w:rFonts w:ascii="Times New Roman" w:hAnsi="Times New Roman"/>
                <w:sz w:val="24"/>
              </w:rPr>
              <w:t>0080</w:t>
            </w:r>
          </w:p>
        </w:tc>
        <w:tc>
          <w:tcPr>
            <w:tcW w:w="7379" w:type="dxa"/>
            <w:gridSpan w:val="2"/>
          </w:tcPr>
          <w:p w14:paraId="3B42B5AE" w14:textId="232E6059" w:rsidR="00D226C2" w:rsidRPr="000B6B22" w:rsidRDefault="00881B4D" w:rsidP="009D4EFF">
            <w:pPr>
              <w:spacing w:before="0"/>
              <w:ind w:left="-40"/>
              <w:rPr>
                <w:rFonts w:ascii="Times New Roman" w:hAnsi="Times New Roman"/>
                <w:b/>
                <w:bCs/>
                <w:sz w:val="24"/>
              </w:rPr>
            </w:pPr>
            <w:r>
              <w:rPr>
                <w:rFonts w:ascii="Times New Roman" w:hAnsi="Times New Roman"/>
                <w:b/>
                <w:sz w:val="24"/>
              </w:rPr>
              <w:t>8. Εισροές εξασφαλισμένων ρευστών διαθεσίμων</w:t>
            </w:r>
          </w:p>
          <w:p w14:paraId="20E63A44" w14:textId="17E75196" w:rsidR="00881B4D" w:rsidRPr="000B6B22" w:rsidRDefault="00D226C2" w:rsidP="009D4EFF">
            <w:pPr>
              <w:spacing w:before="0"/>
              <w:ind w:left="-40"/>
              <w:rPr>
                <w:rFonts w:ascii="Times New Roman" w:hAnsi="Times New Roman"/>
                <w:b/>
                <w:bCs/>
                <w:sz w:val="24"/>
              </w:rPr>
            </w:pPr>
            <w:r>
              <w:rPr>
                <w:rFonts w:ascii="Times New Roman" w:hAnsi="Times New Roman"/>
                <w:sz w:val="24"/>
              </w:rPr>
              <w:t>Τα ιδρύματα αναφέρουν εισροές ρευστών διαθεσίμων (στοιχείο ενεργητικού επιπέδου 1) μετά τη διενέργεια κάθε πράξης εξασφαλισμένης χρηματοδότησης ή πράξης εξασφαλισμένου δανεισμού που λήγει εντός 30 ημερολογιακών ημερών από την ημερομηνία αναφοράς, εκτός εάν η πράξη απαλλάσσεται σύμφωνα με το άρθρο 17 παράγραφος 4 του κατ’ εξουσιοδότηση κανονισμού (ΕΕ) 2015/61.</w:t>
            </w:r>
          </w:p>
        </w:tc>
      </w:tr>
      <w:tr w:rsidR="00B47B7D" w:rsidRPr="000B6B22" w14:paraId="55A39D42" w14:textId="77777777" w:rsidTr="00454544">
        <w:tc>
          <w:tcPr>
            <w:tcW w:w="1099" w:type="dxa"/>
            <w:vAlign w:val="center"/>
          </w:tcPr>
          <w:p w14:paraId="6FE2A590" w14:textId="518149E4" w:rsidR="00881B4D" w:rsidRPr="000B6B22" w:rsidRDefault="00DF552C" w:rsidP="009D4EFF">
            <w:pPr>
              <w:spacing w:before="0"/>
              <w:rPr>
                <w:rFonts w:ascii="Times New Roman" w:hAnsi="Times New Roman"/>
                <w:sz w:val="24"/>
              </w:rPr>
            </w:pPr>
            <w:r>
              <w:rPr>
                <w:rFonts w:ascii="Times New Roman" w:hAnsi="Times New Roman"/>
                <w:sz w:val="24"/>
              </w:rPr>
              <w:t>0091</w:t>
            </w:r>
          </w:p>
        </w:tc>
        <w:tc>
          <w:tcPr>
            <w:tcW w:w="7379" w:type="dxa"/>
            <w:gridSpan w:val="2"/>
          </w:tcPr>
          <w:p w14:paraId="64F68969" w14:textId="2D0D109E" w:rsidR="00881B4D" w:rsidRPr="000B6B22" w:rsidRDefault="00881B4D" w:rsidP="009D4EFF">
            <w:pPr>
              <w:spacing w:before="0"/>
              <w:ind w:left="-40"/>
              <w:rPr>
                <w:rFonts w:ascii="Times New Roman" w:hAnsi="Times New Roman"/>
                <w:b/>
                <w:sz w:val="24"/>
              </w:rPr>
            </w:pPr>
            <w:r>
              <w:rPr>
                <w:rFonts w:ascii="Times New Roman" w:hAnsi="Times New Roman"/>
                <w:b/>
                <w:sz w:val="24"/>
              </w:rPr>
              <w:t>9. «Προσαρμοσμένο ποσό» στοιχείων ενεργητικού επιπέδου 1, εξαιρουμένων των ΕΥΠΚΟ</w:t>
            </w:r>
          </w:p>
          <w:p w14:paraId="33C237B3" w14:textId="2031AFA7" w:rsidR="00881B4D" w:rsidRPr="000B6B22" w:rsidRDefault="00881B4D" w:rsidP="009D4EFF">
            <w:pPr>
              <w:spacing w:before="0"/>
              <w:ind w:left="-40"/>
              <w:rPr>
                <w:rFonts w:ascii="Times New Roman" w:hAnsi="Times New Roman"/>
                <w:sz w:val="24"/>
              </w:rPr>
            </w:pPr>
            <w:r>
              <w:rPr>
                <w:rFonts w:ascii="Times New Roman" w:hAnsi="Times New Roman"/>
                <w:sz w:val="24"/>
              </w:rPr>
              <w:t>Αυτό αναφέρεται στο στοιχείο α) του παραρτήματος Ι σημείο 3</w:t>
            </w:r>
          </w:p>
          <w:p w14:paraId="6BC77ADA" w14:textId="17227B6B" w:rsidR="00881B4D" w:rsidRPr="000B6B22" w:rsidRDefault="00D226C2" w:rsidP="009D4EFF">
            <w:pPr>
              <w:spacing w:before="0"/>
              <w:ind w:left="-40"/>
              <w:rPr>
                <w:rFonts w:ascii="Times New Roman" w:hAnsi="Times New Roman"/>
                <w:sz w:val="24"/>
              </w:rPr>
            </w:pPr>
            <w:r>
              <w:rPr>
                <w:rFonts w:ascii="Times New Roman" w:hAnsi="Times New Roman"/>
                <w:sz w:val="24"/>
              </w:rPr>
              <w:t>Τα ιδρύματα αναφέρουν το προσαρμοσμένο ποσό των στοιχείων ενεργητικού επιπέδου 1 πλην καλυμμένων ομολόγων πριν από την εφαρμογή του ανωτάτου ορίου.</w:t>
            </w:r>
          </w:p>
          <w:p w14:paraId="2A929D27" w14:textId="1E95CD03" w:rsidR="00881B4D" w:rsidRPr="000B6B22" w:rsidRDefault="00881B4D" w:rsidP="009D4EFF">
            <w:pPr>
              <w:spacing w:before="0"/>
              <w:ind w:left="-40"/>
              <w:rPr>
                <w:rFonts w:ascii="Times New Roman" w:hAnsi="Times New Roman"/>
                <w:b/>
                <w:sz w:val="24"/>
              </w:rPr>
            </w:pPr>
            <w:r>
              <w:rPr>
                <w:rFonts w:ascii="Times New Roman" w:hAnsi="Times New Roman"/>
                <w:sz w:val="24"/>
              </w:rPr>
              <w:t xml:space="preserve">Το προσαρμοσμένο ποσό λαμβάνει υπόψη τη διενέργεια πράξης εξασφαλισμένης χρηματοδότησης, πράξης εξασφαλισμένου δανεισμού ή πράξης ανταλλαγής εξασφαλίσεων που λήγουν εντός 30 ημερολογιακών </w:t>
            </w:r>
            <w:r>
              <w:rPr>
                <w:rFonts w:ascii="Times New Roman" w:hAnsi="Times New Roman"/>
                <w:sz w:val="24"/>
              </w:rPr>
              <w:lastRenderedPageBreak/>
              <w:t>ημερών από την ημερομηνία αναφοράς, εκτός εάν η πράξη απαλλάσσεται σύμφωνα με το άρθρο 17 παράγραφος 4 του κατ’ εξουσιοδότηση κανονισμού (ΕΕ) 2015/61.</w:t>
            </w:r>
          </w:p>
        </w:tc>
      </w:tr>
      <w:tr w:rsidR="00B47B7D" w:rsidRPr="000B6B22" w14:paraId="5C5E840A" w14:textId="77777777" w:rsidTr="00454544">
        <w:tc>
          <w:tcPr>
            <w:tcW w:w="1099" w:type="dxa"/>
            <w:vAlign w:val="center"/>
          </w:tcPr>
          <w:p w14:paraId="00D4E0BF" w14:textId="35F8F3A0" w:rsidR="00881B4D" w:rsidRPr="000B6B22" w:rsidRDefault="00DF552C" w:rsidP="009D4EFF">
            <w:pPr>
              <w:spacing w:before="0"/>
              <w:rPr>
                <w:rFonts w:ascii="Times New Roman" w:hAnsi="Times New Roman"/>
                <w:sz w:val="24"/>
              </w:rPr>
            </w:pPr>
            <w:r>
              <w:rPr>
                <w:rFonts w:ascii="Times New Roman" w:hAnsi="Times New Roman"/>
                <w:sz w:val="24"/>
              </w:rPr>
              <w:lastRenderedPageBreak/>
              <w:t>0100</w:t>
            </w:r>
          </w:p>
        </w:tc>
        <w:tc>
          <w:tcPr>
            <w:tcW w:w="7379" w:type="dxa"/>
            <w:gridSpan w:val="2"/>
          </w:tcPr>
          <w:p w14:paraId="01BEA4DB" w14:textId="57EB2E74" w:rsidR="00881B4D" w:rsidRPr="000B6B22" w:rsidRDefault="00881B4D" w:rsidP="009D4EFF">
            <w:pPr>
              <w:spacing w:before="0"/>
              <w:ind w:left="-40"/>
              <w:rPr>
                <w:rFonts w:ascii="Times New Roman" w:hAnsi="Times New Roman"/>
                <w:b/>
                <w:bCs/>
                <w:sz w:val="24"/>
              </w:rPr>
            </w:pPr>
            <w:r>
              <w:rPr>
                <w:rFonts w:ascii="Times New Roman" w:hAnsi="Times New Roman"/>
                <w:b/>
                <w:sz w:val="24"/>
              </w:rPr>
              <w:t>10. Αξία ΕΥΠΚΟ επιπέδου 1 σύμφωνα με το άρθρο 9: μη προσαρμοσμένη</w:t>
            </w:r>
          </w:p>
          <w:p w14:paraId="0D645005" w14:textId="34611A8A" w:rsidR="00881B4D" w:rsidRPr="000B6B22" w:rsidRDefault="00D226C2" w:rsidP="009D4EFF">
            <w:pPr>
              <w:spacing w:before="0"/>
              <w:ind w:left="-40"/>
              <w:rPr>
                <w:rFonts w:ascii="Times New Roman" w:hAnsi="Times New Roman"/>
                <w:b/>
                <w:bCs/>
                <w:sz w:val="24"/>
              </w:rPr>
            </w:pPr>
            <w:r>
              <w:rPr>
                <w:rFonts w:ascii="Times New Roman" w:hAnsi="Times New Roman"/>
                <w:sz w:val="24"/>
              </w:rPr>
              <w:t>Τα ιδρύματα αναφέρουν την τιμή από {C 72.00, r0180, c0040}.</w:t>
            </w:r>
          </w:p>
        </w:tc>
      </w:tr>
      <w:tr w:rsidR="00B47B7D" w:rsidRPr="000B6B22" w14:paraId="44814C1D" w14:textId="77777777" w:rsidTr="00454544">
        <w:tc>
          <w:tcPr>
            <w:tcW w:w="1099" w:type="dxa"/>
            <w:vAlign w:val="center"/>
          </w:tcPr>
          <w:p w14:paraId="30FC64A0" w14:textId="476DF91A" w:rsidR="00881B4D" w:rsidRPr="000B6B22" w:rsidRDefault="00DF552C" w:rsidP="009D4EFF">
            <w:pPr>
              <w:spacing w:before="0"/>
              <w:rPr>
                <w:rFonts w:ascii="Times New Roman" w:hAnsi="Times New Roman"/>
                <w:sz w:val="24"/>
              </w:rPr>
            </w:pPr>
            <w:r>
              <w:rPr>
                <w:rFonts w:ascii="Times New Roman" w:hAnsi="Times New Roman"/>
                <w:sz w:val="24"/>
              </w:rPr>
              <w:t>0110</w:t>
            </w:r>
          </w:p>
        </w:tc>
        <w:tc>
          <w:tcPr>
            <w:tcW w:w="7379" w:type="dxa"/>
            <w:gridSpan w:val="2"/>
          </w:tcPr>
          <w:p w14:paraId="5DAD24AA" w14:textId="77777777" w:rsidR="00881B4D" w:rsidRPr="000B6B22" w:rsidRDefault="00881B4D" w:rsidP="009D4EFF">
            <w:pPr>
              <w:spacing w:before="0"/>
              <w:ind w:left="-40"/>
              <w:rPr>
                <w:rFonts w:ascii="Times New Roman" w:hAnsi="Times New Roman"/>
                <w:b/>
                <w:bCs/>
                <w:sz w:val="24"/>
              </w:rPr>
            </w:pPr>
            <w:r>
              <w:rPr>
                <w:rFonts w:ascii="Times New Roman" w:hAnsi="Times New Roman"/>
                <w:b/>
                <w:sz w:val="24"/>
              </w:rPr>
              <w:t>11. 30 ημερών εκροές εξασφαλίσεων σε ΕΥΠΚΟ επιπέδου 1</w:t>
            </w:r>
          </w:p>
          <w:p w14:paraId="653F3280" w14:textId="2746D237" w:rsidR="00881B4D" w:rsidRPr="000B6B22" w:rsidRDefault="00D226C2" w:rsidP="009D4EFF">
            <w:pPr>
              <w:spacing w:before="0"/>
              <w:ind w:left="-40"/>
              <w:rPr>
                <w:rFonts w:ascii="Times New Roman" w:hAnsi="Times New Roman"/>
                <w:sz w:val="24"/>
              </w:rPr>
            </w:pPr>
            <w:r>
              <w:rPr>
                <w:rFonts w:ascii="Times New Roman" w:hAnsi="Times New Roman"/>
                <w:sz w:val="24"/>
              </w:rPr>
              <w:t>Τα ιδρύματα αναφέρουν εκροές εξαιρετικά υψηλής ποιότητας καλυμμένων ομολόγων επιπέδου 1 μετά τη διενέργεια κάθε πράξης εξασφαλισμένης χρηματοδότησης, πράξης εξασφαλισμένου δανεισμού ή πράξης ανταλλαγής εξασφαλίσεων που λήγει εντός 30 ημερολογιακών ημερών από την ημερομηνία αναφοράς, εκτός εάν η πράξη απαλλάσσεται σύμφωνα με το άρθρο 17 παράγραφος 4 του κατ’ εξουσιοδότηση κανονισμού (ΕΕ) 2015/61.</w:t>
            </w:r>
          </w:p>
        </w:tc>
      </w:tr>
      <w:tr w:rsidR="00B47B7D" w:rsidRPr="000B6B22" w14:paraId="417B5B5D" w14:textId="77777777" w:rsidTr="00454544">
        <w:tc>
          <w:tcPr>
            <w:tcW w:w="1099" w:type="dxa"/>
            <w:shd w:val="clear" w:color="auto" w:fill="FFFFFF"/>
            <w:vAlign w:val="center"/>
          </w:tcPr>
          <w:p w14:paraId="2F51D8CA" w14:textId="14633FDA" w:rsidR="00881B4D" w:rsidRPr="000B6B22" w:rsidRDefault="00DF552C" w:rsidP="009D4EFF">
            <w:pPr>
              <w:spacing w:before="0"/>
              <w:rPr>
                <w:rFonts w:ascii="Times New Roman" w:hAnsi="Times New Roman"/>
                <w:sz w:val="24"/>
              </w:rPr>
            </w:pPr>
            <w:r>
              <w:rPr>
                <w:rFonts w:ascii="Times New Roman" w:hAnsi="Times New Roman"/>
                <w:sz w:val="24"/>
              </w:rPr>
              <w:t>0120</w:t>
            </w:r>
          </w:p>
        </w:tc>
        <w:tc>
          <w:tcPr>
            <w:tcW w:w="7379" w:type="dxa"/>
            <w:gridSpan w:val="2"/>
            <w:shd w:val="clear" w:color="auto" w:fill="FFFFFF"/>
          </w:tcPr>
          <w:p w14:paraId="71F69891" w14:textId="77777777" w:rsidR="00881B4D" w:rsidRPr="000B6B22" w:rsidRDefault="00881B4D" w:rsidP="009D4EFF">
            <w:pPr>
              <w:spacing w:before="0"/>
              <w:ind w:left="-40"/>
              <w:rPr>
                <w:rFonts w:ascii="Times New Roman" w:hAnsi="Times New Roman"/>
                <w:b/>
                <w:bCs/>
                <w:sz w:val="24"/>
              </w:rPr>
            </w:pPr>
            <w:r>
              <w:rPr>
                <w:rFonts w:ascii="Times New Roman" w:hAnsi="Times New Roman"/>
                <w:b/>
                <w:sz w:val="24"/>
              </w:rPr>
              <w:t>12. 30 ημερών εισροές εξασφαλίσεων σε ΕΥΠΚΟ επιπέδου 1</w:t>
            </w:r>
          </w:p>
          <w:p w14:paraId="0F90CFAA" w14:textId="62FB5E39" w:rsidR="00881B4D" w:rsidRPr="000B6B22" w:rsidRDefault="00D226C2" w:rsidP="009D4EFF">
            <w:pPr>
              <w:spacing w:before="0"/>
              <w:ind w:left="-40"/>
              <w:rPr>
                <w:rFonts w:ascii="Times New Roman" w:hAnsi="Times New Roman"/>
                <w:sz w:val="24"/>
              </w:rPr>
            </w:pPr>
            <w:r>
              <w:rPr>
                <w:rFonts w:ascii="Times New Roman" w:hAnsi="Times New Roman"/>
                <w:sz w:val="24"/>
              </w:rPr>
              <w:t>Τα ιδρύματα αναφέρουν εισροές εξαιρετικά υψηλής ποιότητας καλυμμένων ομολόγων επιπέδου 1 μετά τη διενέργεια κάθε πράξης εξασφαλισμένης χρηματοδότησης, πράξης εξασφαλισμένου δανεισμού ή πράξης ανταλλαγής εξασφαλίσεων που λήγει εντός 30 ημερολογιακών ημερών από την ημερομηνία αναφοράς, εκτός εάν η πράξη απαλλάσσεται σύμφωνα με το άρθρο 17 παράγραφος 4 του κατ’ εξουσιοδότηση κανονισμού (ΕΕ) 2015/61.</w:t>
            </w:r>
          </w:p>
        </w:tc>
      </w:tr>
      <w:tr w:rsidR="00B47B7D" w:rsidRPr="000B6B22" w14:paraId="6832DDC9" w14:textId="77777777" w:rsidTr="00454544">
        <w:tc>
          <w:tcPr>
            <w:tcW w:w="1099" w:type="dxa"/>
            <w:shd w:val="clear" w:color="auto" w:fill="FFFFFF"/>
            <w:vAlign w:val="center"/>
          </w:tcPr>
          <w:p w14:paraId="346CD7E0" w14:textId="4DC48BCB" w:rsidR="00881B4D" w:rsidRPr="000B6B22" w:rsidRDefault="00DF552C" w:rsidP="009D4EFF">
            <w:pPr>
              <w:spacing w:before="0"/>
              <w:rPr>
                <w:rFonts w:ascii="Times New Roman" w:hAnsi="Times New Roman"/>
                <w:sz w:val="24"/>
              </w:rPr>
            </w:pPr>
            <w:r>
              <w:rPr>
                <w:rFonts w:ascii="Times New Roman" w:hAnsi="Times New Roman"/>
                <w:sz w:val="24"/>
              </w:rPr>
              <w:t>0131</w:t>
            </w:r>
          </w:p>
        </w:tc>
        <w:tc>
          <w:tcPr>
            <w:tcW w:w="7379" w:type="dxa"/>
            <w:gridSpan w:val="2"/>
            <w:shd w:val="clear" w:color="auto" w:fill="FFFFFF"/>
          </w:tcPr>
          <w:p w14:paraId="4EA28517" w14:textId="7F4E2A8F" w:rsidR="00881B4D" w:rsidRPr="000B6B22" w:rsidRDefault="00881B4D" w:rsidP="009D4EFF">
            <w:pPr>
              <w:spacing w:before="0"/>
              <w:ind w:left="-40"/>
              <w:rPr>
                <w:rFonts w:ascii="Times New Roman" w:hAnsi="Times New Roman"/>
                <w:b/>
                <w:bCs/>
                <w:sz w:val="24"/>
              </w:rPr>
            </w:pPr>
            <w:r>
              <w:rPr>
                <w:rFonts w:ascii="Times New Roman" w:hAnsi="Times New Roman"/>
                <w:b/>
                <w:sz w:val="24"/>
              </w:rPr>
              <w:t>13.</w:t>
            </w:r>
            <w:r>
              <w:rPr>
                <w:rFonts w:ascii="Times New Roman" w:hAnsi="Times New Roman"/>
                <w:sz w:val="24"/>
              </w:rPr>
              <w:t xml:space="preserve"> </w:t>
            </w:r>
            <w:r>
              <w:rPr>
                <w:rFonts w:ascii="Times New Roman" w:hAnsi="Times New Roman"/>
                <w:b/>
                <w:sz w:val="24"/>
              </w:rPr>
              <w:t>«Προσαρμοσμένο ποσό» ΕΥΠΚΟ επιπέδου 1</w:t>
            </w:r>
          </w:p>
          <w:p w14:paraId="506F54B2" w14:textId="1D2D2BB8" w:rsidR="00881B4D" w:rsidRPr="000B6B22" w:rsidRDefault="00881B4D" w:rsidP="009D4EFF">
            <w:pPr>
              <w:spacing w:before="0"/>
              <w:ind w:left="-40"/>
              <w:rPr>
                <w:rFonts w:ascii="Times New Roman" w:hAnsi="Times New Roman"/>
                <w:sz w:val="24"/>
              </w:rPr>
            </w:pPr>
            <w:r>
              <w:rPr>
                <w:rFonts w:ascii="Times New Roman" w:hAnsi="Times New Roman"/>
                <w:sz w:val="24"/>
              </w:rPr>
              <w:t>Αυτό αναφέρεται στο παράρτημα I σημείο 3 στοιχείο β).</w:t>
            </w:r>
          </w:p>
          <w:p w14:paraId="5DF76410" w14:textId="605A8D2B" w:rsidR="00881B4D" w:rsidRPr="000B6B22" w:rsidRDefault="00D226C2" w:rsidP="009D4EFF">
            <w:pPr>
              <w:spacing w:before="0"/>
              <w:ind w:left="-40"/>
              <w:rPr>
                <w:rFonts w:ascii="Times New Roman" w:hAnsi="Times New Roman"/>
                <w:sz w:val="24"/>
              </w:rPr>
            </w:pPr>
            <w:r>
              <w:rPr>
                <w:rFonts w:ascii="Times New Roman" w:hAnsi="Times New Roman"/>
                <w:sz w:val="24"/>
              </w:rPr>
              <w:t>Τα ιδρύματα αναφέρουν το προσαρμοσμένο ποσό των στοιχείων ενεργητικού καλυμμένων ομολόγων επιπέδου 1 πριν από την εφαρμογή του ανωτάτου ορίου.</w:t>
            </w:r>
          </w:p>
          <w:p w14:paraId="79450738" w14:textId="03492AF9" w:rsidR="00881B4D" w:rsidRPr="000B6B22" w:rsidRDefault="00881B4D" w:rsidP="009D4EFF">
            <w:pPr>
              <w:spacing w:before="0"/>
              <w:ind w:left="-40"/>
              <w:rPr>
                <w:rFonts w:ascii="Times New Roman" w:hAnsi="Times New Roman"/>
                <w:b/>
                <w:sz w:val="24"/>
              </w:rPr>
            </w:pPr>
            <w:r>
              <w:rPr>
                <w:rFonts w:ascii="Times New Roman" w:hAnsi="Times New Roman"/>
                <w:sz w:val="24"/>
              </w:rPr>
              <w:t>Το προσαρμοσμένο ποσό λαμβάνει υπόψη τη διενέργεια πράξης εξασφαλισμένης χρηματοδότησης, πράξης εξασφαλισμένου δανεισμού ή πράξης ανταλλαγής εξασφαλίσεων που λήγουν εντός 30 ημερολογιακών ημερών από την ημερομηνία αναφοράς, εκτός εάν η πράξη απαλλάσσεται σύμφωνα με το άρθρο 17 παράγραφος 4 του κατ’ εξουσιοδότηση κανονισμού (ΕΕ) 2015/61.</w:t>
            </w:r>
          </w:p>
        </w:tc>
      </w:tr>
      <w:tr w:rsidR="00B47B7D" w:rsidRPr="000B6B22" w14:paraId="34F79033" w14:textId="77777777" w:rsidTr="00454544">
        <w:tc>
          <w:tcPr>
            <w:tcW w:w="1099" w:type="dxa"/>
            <w:shd w:val="clear" w:color="auto" w:fill="FFFFFF"/>
            <w:vAlign w:val="center"/>
          </w:tcPr>
          <w:p w14:paraId="7B312711" w14:textId="7FE577DD" w:rsidR="00881B4D" w:rsidRPr="000B6B22" w:rsidRDefault="00DF552C" w:rsidP="009D4EFF">
            <w:pPr>
              <w:spacing w:before="0"/>
              <w:rPr>
                <w:rFonts w:ascii="Times New Roman" w:hAnsi="Times New Roman"/>
                <w:sz w:val="24"/>
              </w:rPr>
            </w:pPr>
            <w:r>
              <w:rPr>
                <w:rFonts w:ascii="Times New Roman" w:hAnsi="Times New Roman"/>
                <w:sz w:val="24"/>
              </w:rPr>
              <w:t>0160</w:t>
            </w:r>
          </w:p>
        </w:tc>
        <w:tc>
          <w:tcPr>
            <w:tcW w:w="7379" w:type="dxa"/>
            <w:gridSpan w:val="2"/>
            <w:shd w:val="clear" w:color="auto" w:fill="FFFFFF"/>
          </w:tcPr>
          <w:p w14:paraId="27B4A998" w14:textId="410999A6" w:rsidR="00881B4D" w:rsidRPr="000B6B22" w:rsidRDefault="00881B4D" w:rsidP="009D4EFF">
            <w:pPr>
              <w:spacing w:before="0"/>
              <w:ind w:left="-40"/>
              <w:rPr>
                <w:rFonts w:ascii="Times New Roman" w:hAnsi="Times New Roman"/>
                <w:b/>
                <w:bCs/>
                <w:sz w:val="24"/>
              </w:rPr>
            </w:pPr>
            <w:r>
              <w:rPr>
                <w:rFonts w:ascii="Times New Roman" w:hAnsi="Times New Roman"/>
                <w:b/>
                <w:sz w:val="24"/>
              </w:rPr>
              <w:t>14. Αξία επιπέδου 2Α σύμφωνα με το άρθρο 9: μη προσαρμοσμένη</w:t>
            </w:r>
          </w:p>
          <w:p w14:paraId="0C585D14" w14:textId="577B30E9" w:rsidR="00881B4D" w:rsidRPr="000B6B22" w:rsidRDefault="00D226C2" w:rsidP="009D4EFF">
            <w:pPr>
              <w:spacing w:before="0"/>
              <w:ind w:left="-40"/>
              <w:rPr>
                <w:rFonts w:ascii="Times New Roman" w:hAnsi="Times New Roman"/>
                <w:bCs/>
                <w:sz w:val="24"/>
              </w:rPr>
            </w:pPr>
            <w:r>
              <w:rPr>
                <w:rFonts w:ascii="Times New Roman" w:hAnsi="Times New Roman"/>
                <w:sz w:val="24"/>
              </w:rPr>
              <w:t>Τα ιδρύματα αναφέρουν την τιμή από {C 72.00, r0230, c0040}.</w:t>
            </w:r>
          </w:p>
        </w:tc>
      </w:tr>
      <w:tr w:rsidR="00B47B7D" w:rsidRPr="000B6B22" w14:paraId="5F5F67F7" w14:textId="77777777" w:rsidTr="00454544">
        <w:tc>
          <w:tcPr>
            <w:tcW w:w="1099" w:type="dxa"/>
            <w:shd w:val="clear" w:color="auto" w:fill="FFFFFF"/>
            <w:vAlign w:val="center"/>
          </w:tcPr>
          <w:p w14:paraId="1863B664" w14:textId="681E87E7" w:rsidR="00881B4D" w:rsidRPr="000B6B22" w:rsidRDefault="00DF552C" w:rsidP="009D4EFF">
            <w:pPr>
              <w:spacing w:before="0"/>
              <w:rPr>
                <w:rFonts w:ascii="Times New Roman" w:hAnsi="Times New Roman"/>
                <w:sz w:val="24"/>
              </w:rPr>
            </w:pPr>
            <w:r>
              <w:rPr>
                <w:rFonts w:ascii="Times New Roman" w:hAnsi="Times New Roman"/>
                <w:sz w:val="24"/>
              </w:rPr>
              <w:t>0170</w:t>
            </w:r>
          </w:p>
        </w:tc>
        <w:tc>
          <w:tcPr>
            <w:tcW w:w="7379" w:type="dxa"/>
            <w:gridSpan w:val="2"/>
            <w:shd w:val="clear" w:color="auto" w:fill="FFFFFF"/>
          </w:tcPr>
          <w:p w14:paraId="21AA9DAB" w14:textId="2C104558" w:rsidR="00881B4D" w:rsidRPr="000B6B22" w:rsidRDefault="00881B4D" w:rsidP="009D4EFF">
            <w:pPr>
              <w:spacing w:before="0"/>
              <w:ind w:left="-40"/>
              <w:rPr>
                <w:rFonts w:ascii="Times New Roman" w:hAnsi="Times New Roman"/>
                <w:bCs/>
                <w:sz w:val="24"/>
              </w:rPr>
            </w:pPr>
            <w:r>
              <w:rPr>
                <w:rFonts w:ascii="Times New Roman" w:hAnsi="Times New Roman"/>
                <w:b/>
                <w:sz w:val="24"/>
              </w:rPr>
              <w:t>15. 30 ημερών εκροές εξασφαλίσεων επιπέδου 2Α</w:t>
            </w:r>
          </w:p>
          <w:p w14:paraId="338A655D" w14:textId="65B45FA1" w:rsidR="00881B4D" w:rsidRPr="000B6B22" w:rsidRDefault="00D226C2" w:rsidP="009D4EFF">
            <w:pPr>
              <w:spacing w:before="0"/>
              <w:ind w:left="-40"/>
              <w:rPr>
                <w:rFonts w:ascii="Times New Roman" w:hAnsi="Times New Roman"/>
                <w:bCs/>
                <w:sz w:val="24"/>
              </w:rPr>
            </w:pPr>
            <w:r>
              <w:rPr>
                <w:rFonts w:ascii="Times New Roman" w:hAnsi="Times New Roman"/>
                <w:sz w:val="24"/>
              </w:rPr>
              <w:t>Τα ιδρύματα αναφέρουν εκροές ρευστών τίτλων επιπέδου 2A μετά τη διενέργεια κάθε πράξης εξασφαλισμένης χρηματοδότησης, πράξης εξασφαλισμένου δανεισμού ή πράξης ανταλλαγής εξασφαλίσεων που λήγει εντός 30 ημερολογιακών ημερών από την ημερομηνία υπολογισμού, εκτός εάν η πράξη απαλλάσσεται σύμφωνα με το άρθρο 17 παράγραφος 4 του κατ’ εξουσιοδότηση κανονισμού (ΕΕ) 2015/61.</w:t>
            </w:r>
          </w:p>
        </w:tc>
      </w:tr>
      <w:tr w:rsidR="00B47B7D" w:rsidRPr="000B6B22" w14:paraId="115D6AAE" w14:textId="77777777" w:rsidTr="00454544">
        <w:tc>
          <w:tcPr>
            <w:tcW w:w="1099" w:type="dxa"/>
            <w:shd w:val="clear" w:color="auto" w:fill="FFFFFF"/>
            <w:vAlign w:val="center"/>
          </w:tcPr>
          <w:p w14:paraId="6A245DFF" w14:textId="42384A53" w:rsidR="00881B4D" w:rsidRPr="000B6B22" w:rsidRDefault="00DF552C" w:rsidP="009D4EFF">
            <w:pPr>
              <w:spacing w:before="0"/>
              <w:rPr>
                <w:rFonts w:ascii="Times New Roman" w:hAnsi="Times New Roman"/>
                <w:sz w:val="24"/>
              </w:rPr>
            </w:pPr>
            <w:r>
              <w:rPr>
                <w:rFonts w:ascii="Times New Roman" w:hAnsi="Times New Roman"/>
                <w:sz w:val="24"/>
              </w:rPr>
              <w:t>0180</w:t>
            </w:r>
          </w:p>
        </w:tc>
        <w:tc>
          <w:tcPr>
            <w:tcW w:w="7379" w:type="dxa"/>
            <w:gridSpan w:val="2"/>
            <w:shd w:val="clear" w:color="auto" w:fill="FFFFFF"/>
          </w:tcPr>
          <w:p w14:paraId="277D9E3D" w14:textId="53C59FA5" w:rsidR="00881B4D" w:rsidRPr="000B6B22" w:rsidRDefault="00881B4D" w:rsidP="009D4EFF">
            <w:pPr>
              <w:spacing w:before="0"/>
              <w:ind w:left="-40"/>
              <w:rPr>
                <w:rFonts w:ascii="Times New Roman" w:hAnsi="Times New Roman"/>
                <w:bCs/>
                <w:sz w:val="24"/>
              </w:rPr>
            </w:pPr>
            <w:r>
              <w:rPr>
                <w:rFonts w:ascii="Times New Roman" w:hAnsi="Times New Roman"/>
                <w:b/>
                <w:sz w:val="24"/>
              </w:rPr>
              <w:t>16. 30 ημερών εισροές εξασφαλίσεων επιπέδου 2Α</w:t>
            </w:r>
          </w:p>
          <w:p w14:paraId="0DB91B6A" w14:textId="65B5CB1B" w:rsidR="00881B4D" w:rsidRPr="000B6B22" w:rsidRDefault="00D226C2" w:rsidP="009D4EFF">
            <w:pPr>
              <w:spacing w:before="0"/>
              <w:ind w:left="-40"/>
              <w:rPr>
                <w:rFonts w:ascii="Times New Roman" w:hAnsi="Times New Roman"/>
                <w:bCs/>
                <w:sz w:val="24"/>
              </w:rPr>
            </w:pPr>
            <w:r>
              <w:rPr>
                <w:rFonts w:ascii="Times New Roman" w:hAnsi="Times New Roman"/>
                <w:sz w:val="24"/>
              </w:rPr>
              <w:lastRenderedPageBreak/>
              <w:t>Τα ιδρύματα αναφέρουν εισροές ρευστών τίτλων επιπέδου 2Α μετά τη διενέργεια κάθε πράξης εξασφαλισμένης χρηματοδότησης, πράξης εξασφαλισμένου δανεισμού ή πράξης ανταλλαγής εξασφαλίσεων που λήγει εντός 30 ημερολογιακών ημερών από την ημερομηνία υπολογισμού, εκτός εάν η πράξη απαλλάσσεται σύμφωνα με το άρθρο 17 παράγραφος 4 του κατ’ εξουσιοδότηση κανονισμού (ΕΕ) 2015/61.</w:t>
            </w:r>
          </w:p>
        </w:tc>
      </w:tr>
      <w:tr w:rsidR="00B47B7D" w:rsidRPr="000B6B22" w14:paraId="5FAB56AA" w14:textId="77777777" w:rsidTr="00454544">
        <w:tc>
          <w:tcPr>
            <w:tcW w:w="1099" w:type="dxa"/>
            <w:shd w:val="clear" w:color="auto" w:fill="FFFFFF"/>
            <w:vAlign w:val="center"/>
          </w:tcPr>
          <w:p w14:paraId="47D25F64" w14:textId="31553710" w:rsidR="00881B4D" w:rsidRPr="000B6B22" w:rsidRDefault="00DF552C" w:rsidP="009D4EFF">
            <w:pPr>
              <w:spacing w:before="0"/>
              <w:rPr>
                <w:rFonts w:ascii="Times New Roman" w:hAnsi="Times New Roman"/>
                <w:sz w:val="24"/>
              </w:rPr>
            </w:pPr>
            <w:r>
              <w:rPr>
                <w:rFonts w:ascii="Times New Roman" w:hAnsi="Times New Roman"/>
                <w:sz w:val="24"/>
              </w:rPr>
              <w:lastRenderedPageBreak/>
              <w:t>0191</w:t>
            </w:r>
          </w:p>
        </w:tc>
        <w:tc>
          <w:tcPr>
            <w:tcW w:w="7379" w:type="dxa"/>
            <w:gridSpan w:val="2"/>
            <w:shd w:val="clear" w:color="auto" w:fill="FFFFFF"/>
          </w:tcPr>
          <w:p w14:paraId="6CA2526C" w14:textId="5CE5FB05" w:rsidR="00881B4D" w:rsidRPr="000B6B22" w:rsidRDefault="00881B4D" w:rsidP="009D4EFF">
            <w:pPr>
              <w:spacing w:before="0"/>
              <w:ind w:left="-40"/>
              <w:rPr>
                <w:rFonts w:ascii="Times New Roman" w:hAnsi="Times New Roman"/>
                <w:b/>
                <w:bCs/>
                <w:sz w:val="24"/>
              </w:rPr>
            </w:pPr>
            <w:r>
              <w:rPr>
                <w:rFonts w:ascii="Times New Roman" w:hAnsi="Times New Roman"/>
                <w:b/>
                <w:sz w:val="24"/>
              </w:rPr>
              <w:t>17. «Προσαρμοσμένο ποσό» επιπέδου 2Α</w:t>
            </w:r>
          </w:p>
          <w:p w14:paraId="1675147B" w14:textId="4929F258" w:rsidR="00881B4D" w:rsidRPr="000B6B22" w:rsidRDefault="00881B4D" w:rsidP="009D4EFF">
            <w:pPr>
              <w:spacing w:before="0"/>
              <w:ind w:left="-40"/>
              <w:rPr>
                <w:rFonts w:ascii="Times New Roman" w:hAnsi="Times New Roman"/>
                <w:bCs/>
                <w:sz w:val="24"/>
              </w:rPr>
            </w:pPr>
            <w:r>
              <w:rPr>
                <w:rFonts w:ascii="Times New Roman" w:hAnsi="Times New Roman"/>
                <w:sz w:val="24"/>
              </w:rPr>
              <w:t>Αυτό αναφέρεται στο παράρτημα I σημείο 3 στοιχείο γ).</w:t>
            </w:r>
          </w:p>
          <w:p w14:paraId="3B6A903C" w14:textId="7D465EEB" w:rsidR="00881B4D" w:rsidRPr="000B6B22" w:rsidRDefault="00D226C2" w:rsidP="009D4EFF">
            <w:pPr>
              <w:spacing w:before="0"/>
              <w:ind w:left="-40"/>
              <w:rPr>
                <w:rFonts w:ascii="Times New Roman" w:hAnsi="Times New Roman"/>
                <w:sz w:val="24"/>
              </w:rPr>
            </w:pPr>
            <w:r>
              <w:rPr>
                <w:rFonts w:ascii="Times New Roman" w:hAnsi="Times New Roman"/>
                <w:sz w:val="24"/>
              </w:rPr>
              <w:t>Τα ιδρύματα αναφέρουν το προσαρμοσμένο ποσό των στοιχείων ενεργητικού επιπέδου 2Α πριν από την εφαρμογή του ανωτάτου ορίου.</w:t>
            </w:r>
          </w:p>
          <w:p w14:paraId="71C2F7DA" w14:textId="12DBC028" w:rsidR="00881B4D" w:rsidRPr="000B6B22" w:rsidRDefault="00881B4D" w:rsidP="009D4EFF">
            <w:pPr>
              <w:spacing w:before="0"/>
              <w:ind w:left="-40"/>
              <w:rPr>
                <w:rFonts w:ascii="Times New Roman" w:hAnsi="Times New Roman"/>
                <w:b/>
                <w:sz w:val="24"/>
              </w:rPr>
            </w:pPr>
            <w:r>
              <w:rPr>
                <w:rFonts w:ascii="Times New Roman" w:hAnsi="Times New Roman"/>
                <w:sz w:val="24"/>
              </w:rPr>
              <w:t>Το προσαρμοσμένο ποσό λαμβάνει υπόψη τη διενέργεια πράξης εξασφαλισμένης χρηματοδότησης, πράξης εξασφαλισμένου δανεισμού ή πράξης ανταλλαγής εξασφαλίσεων που λήγουν εντός 30 ημερολογιακών ημερών από την ημερομηνία υπολογισμού, εκτός εάν η πράξη απαλλάσσεται σύμφωνα με το άρθρο 17 παράγραφος 4 του κατ’ εξουσιοδότηση κανονισμού (ΕΕ) 2015/61.</w:t>
            </w:r>
          </w:p>
        </w:tc>
      </w:tr>
      <w:tr w:rsidR="00B47B7D" w:rsidRPr="000B6B22" w14:paraId="50614359" w14:textId="77777777" w:rsidTr="00454544">
        <w:tc>
          <w:tcPr>
            <w:tcW w:w="1099" w:type="dxa"/>
            <w:shd w:val="clear" w:color="auto" w:fill="FFFFFF"/>
            <w:vAlign w:val="center"/>
          </w:tcPr>
          <w:p w14:paraId="4E2C147D" w14:textId="336FE95E" w:rsidR="00881B4D" w:rsidRPr="000B6B22" w:rsidRDefault="00DF552C" w:rsidP="009D4EFF">
            <w:pPr>
              <w:spacing w:before="0"/>
              <w:rPr>
                <w:rFonts w:ascii="Times New Roman" w:hAnsi="Times New Roman"/>
                <w:sz w:val="24"/>
              </w:rPr>
            </w:pPr>
            <w:r>
              <w:rPr>
                <w:rFonts w:ascii="Times New Roman" w:hAnsi="Times New Roman"/>
                <w:sz w:val="24"/>
              </w:rPr>
              <w:t>0220</w:t>
            </w:r>
          </w:p>
        </w:tc>
        <w:tc>
          <w:tcPr>
            <w:tcW w:w="7379" w:type="dxa"/>
            <w:gridSpan w:val="2"/>
            <w:shd w:val="clear" w:color="auto" w:fill="FFFFFF"/>
          </w:tcPr>
          <w:p w14:paraId="0C1AD2A9" w14:textId="7CA3EFA1" w:rsidR="00881B4D" w:rsidRPr="000B6B22" w:rsidRDefault="00881B4D" w:rsidP="009D4EFF">
            <w:pPr>
              <w:spacing w:before="0"/>
              <w:ind w:left="-40"/>
              <w:rPr>
                <w:rFonts w:ascii="Times New Roman" w:hAnsi="Times New Roman"/>
                <w:b/>
                <w:bCs/>
                <w:sz w:val="24"/>
              </w:rPr>
            </w:pPr>
            <w:r>
              <w:rPr>
                <w:rFonts w:ascii="Times New Roman" w:hAnsi="Times New Roman"/>
                <w:b/>
                <w:sz w:val="24"/>
              </w:rPr>
              <w:t>18. Αξία επιπέδου 2Β σύμφωνα με το άρθρο 9: μη προσαρμοσμένη</w:t>
            </w:r>
          </w:p>
          <w:p w14:paraId="79F1E814" w14:textId="0314A253" w:rsidR="00881B4D" w:rsidRPr="000B6B22" w:rsidRDefault="00D226C2" w:rsidP="009D4EFF">
            <w:pPr>
              <w:spacing w:before="0"/>
              <w:ind w:left="-40"/>
              <w:rPr>
                <w:rFonts w:ascii="Times New Roman" w:hAnsi="Times New Roman"/>
                <w:bCs/>
                <w:sz w:val="24"/>
              </w:rPr>
            </w:pPr>
            <w:r>
              <w:rPr>
                <w:rFonts w:ascii="Times New Roman" w:hAnsi="Times New Roman"/>
                <w:sz w:val="24"/>
              </w:rPr>
              <w:t>Τα ιδρύματα αναφέρουν την τιμή από {C 72.00, r0310, c0040}.</w:t>
            </w:r>
          </w:p>
        </w:tc>
      </w:tr>
      <w:tr w:rsidR="00B47B7D" w:rsidRPr="000B6B22" w14:paraId="5F473A78" w14:textId="77777777" w:rsidTr="00454544">
        <w:tc>
          <w:tcPr>
            <w:tcW w:w="1099" w:type="dxa"/>
            <w:shd w:val="clear" w:color="auto" w:fill="FFFFFF"/>
            <w:vAlign w:val="center"/>
          </w:tcPr>
          <w:p w14:paraId="3E617F61" w14:textId="3E69086C" w:rsidR="00881B4D" w:rsidRPr="000B6B22" w:rsidRDefault="00DF552C" w:rsidP="009D4EFF">
            <w:pPr>
              <w:spacing w:before="0"/>
              <w:rPr>
                <w:rFonts w:ascii="Times New Roman" w:hAnsi="Times New Roman"/>
                <w:sz w:val="24"/>
              </w:rPr>
            </w:pPr>
            <w:r>
              <w:rPr>
                <w:rFonts w:ascii="Times New Roman" w:hAnsi="Times New Roman"/>
                <w:sz w:val="24"/>
              </w:rPr>
              <w:t>0230</w:t>
            </w:r>
          </w:p>
        </w:tc>
        <w:tc>
          <w:tcPr>
            <w:tcW w:w="7379" w:type="dxa"/>
            <w:gridSpan w:val="2"/>
            <w:shd w:val="clear" w:color="auto" w:fill="FFFFFF"/>
          </w:tcPr>
          <w:p w14:paraId="3D60821B" w14:textId="60F5EE29" w:rsidR="00881B4D" w:rsidRPr="000B6B22" w:rsidRDefault="00881B4D" w:rsidP="009D4EFF">
            <w:pPr>
              <w:spacing w:before="0"/>
              <w:ind w:left="-40"/>
              <w:rPr>
                <w:rFonts w:ascii="Times New Roman" w:hAnsi="Times New Roman"/>
                <w:b/>
                <w:bCs/>
                <w:sz w:val="24"/>
              </w:rPr>
            </w:pPr>
            <w:r>
              <w:rPr>
                <w:rFonts w:ascii="Times New Roman" w:hAnsi="Times New Roman"/>
                <w:b/>
                <w:sz w:val="24"/>
              </w:rPr>
              <w:t>19.</w:t>
            </w:r>
            <w:r>
              <w:rPr>
                <w:rFonts w:ascii="Times New Roman" w:hAnsi="Times New Roman"/>
                <w:sz w:val="24"/>
              </w:rPr>
              <w:t xml:space="preserve"> </w:t>
            </w:r>
            <w:r>
              <w:rPr>
                <w:rFonts w:ascii="Times New Roman" w:hAnsi="Times New Roman"/>
                <w:b/>
                <w:sz w:val="24"/>
              </w:rPr>
              <w:t>30 ημερών εκροές εξασφαλίσεων επιπέδου 2Β</w:t>
            </w:r>
          </w:p>
          <w:p w14:paraId="357EDF3F" w14:textId="32ECBF2C" w:rsidR="00881B4D" w:rsidRPr="000B6B22" w:rsidRDefault="00D226C2" w:rsidP="009D4EFF">
            <w:pPr>
              <w:spacing w:before="0"/>
              <w:ind w:left="-40"/>
              <w:rPr>
                <w:rFonts w:ascii="Times New Roman" w:hAnsi="Times New Roman"/>
                <w:bCs/>
                <w:sz w:val="24"/>
              </w:rPr>
            </w:pPr>
            <w:r>
              <w:rPr>
                <w:rFonts w:ascii="Times New Roman" w:hAnsi="Times New Roman"/>
                <w:sz w:val="24"/>
              </w:rPr>
              <w:t>Τα ιδρύματα αναφέρουν εκροές ρευστών τίτλων επιπέδου 2Β μετά τη διενέργεια κάθε πράξης εξασφαλισμένης χρηματοδότησης, πράξης εξασφαλισμένου δανεισμού ή πράξης ανταλλαγής εξασφαλίσεων που λήγει εντός 30 ημερολογιακών ημερών από την ημερομηνία υπολογισμού, εκτός εάν η πράξη απαλλάσσεται σύμφωνα με το άρθρο 17 παράγραφος 4 του κατ’ εξουσιοδότηση κανονισμού (ΕΕ) 2015/61.</w:t>
            </w:r>
          </w:p>
        </w:tc>
      </w:tr>
      <w:tr w:rsidR="00B47B7D" w:rsidRPr="000B6B22" w14:paraId="72BDD7C9" w14:textId="77777777" w:rsidTr="00454544">
        <w:tc>
          <w:tcPr>
            <w:tcW w:w="1099" w:type="dxa"/>
            <w:shd w:val="clear" w:color="auto" w:fill="FFFFFF"/>
            <w:vAlign w:val="center"/>
          </w:tcPr>
          <w:p w14:paraId="4A9AEB7B" w14:textId="266180DF" w:rsidR="00881B4D" w:rsidRPr="000B6B22" w:rsidRDefault="00DF552C" w:rsidP="009D4EFF">
            <w:pPr>
              <w:spacing w:before="0"/>
              <w:rPr>
                <w:rFonts w:ascii="Times New Roman" w:hAnsi="Times New Roman"/>
                <w:sz w:val="24"/>
              </w:rPr>
            </w:pPr>
            <w:r>
              <w:rPr>
                <w:rFonts w:ascii="Times New Roman" w:hAnsi="Times New Roman"/>
                <w:sz w:val="24"/>
              </w:rPr>
              <w:t>0240</w:t>
            </w:r>
          </w:p>
        </w:tc>
        <w:tc>
          <w:tcPr>
            <w:tcW w:w="7379" w:type="dxa"/>
            <w:gridSpan w:val="2"/>
            <w:shd w:val="clear" w:color="auto" w:fill="FFFFFF"/>
          </w:tcPr>
          <w:p w14:paraId="5FFC8C1F" w14:textId="3F6ED1AD" w:rsidR="00881B4D" w:rsidRPr="000B6B22" w:rsidRDefault="00881B4D" w:rsidP="009D4EFF">
            <w:pPr>
              <w:spacing w:before="0"/>
              <w:ind w:left="-40"/>
              <w:rPr>
                <w:rFonts w:ascii="Times New Roman" w:hAnsi="Times New Roman"/>
                <w:bCs/>
                <w:sz w:val="24"/>
              </w:rPr>
            </w:pPr>
            <w:r>
              <w:rPr>
                <w:rFonts w:ascii="Times New Roman" w:hAnsi="Times New Roman"/>
                <w:b/>
                <w:sz w:val="24"/>
              </w:rPr>
              <w:t>20. 30 ημερών εισροές εξασφαλίσεων επιπέδου 2Β</w:t>
            </w:r>
          </w:p>
          <w:p w14:paraId="4F36573E" w14:textId="47D90E22" w:rsidR="00881B4D" w:rsidRPr="000B6B22" w:rsidRDefault="00D226C2" w:rsidP="009D4EFF">
            <w:pPr>
              <w:spacing w:before="0"/>
              <w:ind w:left="-40"/>
              <w:rPr>
                <w:rFonts w:ascii="Times New Roman" w:hAnsi="Times New Roman"/>
                <w:bCs/>
                <w:sz w:val="24"/>
              </w:rPr>
            </w:pPr>
            <w:r>
              <w:rPr>
                <w:rFonts w:ascii="Times New Roman" w:hAnsi="Times New Roman"/>
                <w:sz w:val="24"/>
              </w:rPr>
              <w:t>Τα ιδρύματα αναφέρουν εισροές ρευστών τίτλων επιπέδου 2Β μετά τη διενέργεια κάθε πράξης εξασφαλισμένης χρηματοδότησης, πράξης εξασφαλισμένου δανεισμού ή πράξης ανταλλαγής εξασφαλίσεων που λήγει εντός 30 ημερολογιακών ημερών από την ημερομηνία υπολογισμού, εκτός εάν η πράξη απαλλάσσεται σύμφωνα με το άρθρο 17 παράγραφος 4 του κατ’ εξουσιοδότηση κανονισμού (ΕΕ) 2015/61.</w:t>
            </w:r>
          </w:p>
        </w:tc>
      </w:tr>
      <w:tr w:rsidR="00B47B7D" w:rsidRPr="000B6B22" w14:paraId="59C71F5E" w14:textId="77777777" w:rsidTr="00454544">
        <w:tc>
          <w:tcPr>
            <w:tcW w:w="1099" w:type="dxa"/>
            <w:shd w:val="clear" w:color="auto" w:fill="FFFFFF"/>
            <w:vAlign w:val="center"/>
          </w:tcPr>
          <w:p w14:paraId="780C3A4B" w14:textId="04DDABE8" w:rsidR="00881B4D" w:rsidRPr="000B6B22" w:rsidRDefault="00DF552C" w:rsidP="009D4EFF">
            <w:pPr>
              <w:spacing w:before="0"/>
              <w:rPr>
                <w:rFonts w:ascii="Times New Roman" w:hAnsi="Times New Roman"/>
                <w:sz w:val="24"/>
              </w:rPr>
            </w:pPr>
            <w:r>
              <w:rPr>
                <w:rFonts w:ascii="Times New Roman" w:hAnsi="Times New Roman"/>
                <w:sz w:val="24"/>
              </w:rPr>
              <w:t>0251</w:t>
            </w:r>
          </w:p>
        </w:tc>
        <w:tc>
          <w:tcPr>
            <w:tcW w:w="7379" w:type="dxa"/>
            <w:gridSpan w:val="2"/>
            <w:shd w:val="clear" w:color="auto" w:fill="FFFFFF"/>
          </w:tcPr>
          <w:p w14:paraId="1A37C299" w14:textId="6D001334" w:rsidR="00881B4D" w:rsidRPr="000B6B22" w:rsidRDefault="00881B4D" w:rsidP="009D4EFF">
            <w:pPr>
              <w:spacing w:before="0"/>
              <w:ind w:left="-40"/>
              <w:rPr>
                <w:rFonts w:ascii="Times New Roman" w:hAnsi="Times New Roman"/>
                <w:b/>
                <w:bCs/>
                <w:sz w:val="24"/>
              </w:rPr>
            </w:pPr>
            <w:r>
              <w:rPr>
                <w:rFonts w:ascii="Times New Roman" w:hAnsi="Times New Roman"/>
                <w:b/>
                <w:sz w:val="24"/>
              </w:rPr>
              <w:t>21. «Προσαρμοσμένο ποσό» επιπέδου 2Β</w:t>
            </w:r>
          </w:p>
          <w:p w14:paraId="3E44077E" w14:textId="36ED9E76" w:rsidR="00881B4D" w:rsidRPr="000B6B22" w:rsidRDefault="00881B4D" w:rsidP="009D4EFF">
            <w:pPr>
              <w:spacing w:before="0"/>
              <w:ind w:left="-40"/>
              <w:rPr>
                <w:rFonts w:ascii="Times New Roman" w:hAnsi="Times New Roman"/>
                <w:sz w:val="24"/>
              </w:rPr>
            </w:pPr>
            <w:r>
              <w:rPr>
                <w:rFonts w:ascii="Times New Roman" w:hAnsi="Times New Roman"/>
                <w:sz w:val="24"/>
              </w:rPr>
              <w:t>Αυτό αναφέρεται στο παράρτημα I σημείο 3 στοιχείο δ).</w:t>
            </w:r>
          </w:p>
          <w:p w14:paraId="01A59F57" w14:textId="6ECB9A3B" w:rsidR="00881B4D" w:rsidRPr="000B6B22" w:rsidRDefault="00D226C2" w:rsidP="009D4EFF">
            <w:pPr>
              <w:spacing w:before="0"/>
              <w:ind w:left="-40"/>
              <w:rPr>
                <w:rFonts w:ascii="Times New Roman" w:hAnsi="Times New Roman"/>
                <w:sz w:val="24"/>
              </w:rPr>
            </w:pPr>
            <w:r>
              <w:rPr>
                <w:rFonts w:ascii="Times New Roman" w:hAnsi="Times New Roman"/>
                <w:sz w:val="24"/>
              </w:rPr>
              <w:t>Τα ιδρύματα αναφέρουν το προσαρμοσμένο ποσό των στοιχείων ενεργητικού επιπέδου 2Β πριν από την εφαρμογή του ανωτάτου ορίου.</w:t>
            </w:r>
          </w:p>
          <w:p w14:paraId="771E2039" w14:textId="64BA41E4" w:rsidR="00881B4D" w:rsidRPr="000B6B22" w:rsidRDefault="00881B4D" w:rsidP="009D4EFF">
            <w:pPr>
              <w:spacing w:before="0"/>
              <w:ind w:left="-40"/>
              <w:rPr>
                <w:rFonts w:ascii="Times New Roman" w:hAnsi="Times New Roman"/>
                <w:b/>
                <w:sz w:val="24"/>
              </w:rPr>
            </w:pPr>
            <w:r>
              <w:rPr>
                <w:rFonts w:ascii="Times New Roman" w:hAnsi="Times New Roman"/>
                <w:sz w:val="24"/>
              </w:rPr>
              <w:t>Το προσαρμοσμένο ποσό λαμβάνει υπόψη τη διενέργεια πράξης εξασφαλισμένης χρηματοδότησης, πράξης εξασφαλισμένου δανεισμού ή πράξης ανταλλαγής εξασφαλίσεων που λήγουν εντός 30 ημερολογιακών ημερών από την ημερομηνία υπολογισμού, εκτός εάν η πράξη απαλλάσσεται σύμφωνα με το άρθρο 17 παράγραφος 4 του κατ’ εξουσιοδότηση κανονισμού (ΕΕ) 2015/61.</w:t>
            </w:r>
          </w:p>
        </w:tc>
      </w:tr>
      <w:tr w:rsidR="00B47B7D" w:rsidRPr="000B6B22" w14:paraId="444ECBBD" w14:textId="77777777" w:rsidTr="00454544">
        <w:tc>
          <w:tcPr>
            <w:tcW w:w="1099" w:type="dxa"/>
            <w:shd w:val="clear" w:color="auto" w:fill="FFFFFF"/>
            <w:vAlign w:val="center"/>
          </w:tcPr>
          <w:p w14:paraId="01C7EDCB" w14:textId="2B2F4831" w:rsidR="00881B4D" w:rsidRPr="000B6B22" w:rsidRDefault="00DF552C" w:rsidP="009D4EFF">
            <w:pPr>
              <w:spacing w:before="0"/>
              <w:rPr>
                <w:rFonts w:ascii="Times New Roman" w:hAnsi="Times New Roman"/>
                <w:sz w:val="24"/>
              </w:rPr>
            </w:pPr>
            <w:r>
              <w:rPr>
                <w:rFonts w:ascii="Times New Roman" w:hAnsi="Times New Roman"/>
                <w:sz w:val="24"/>
              </w:rPr>
              <w:t>0280</w:t>
            </w:r>
          </w:p>
        </w:tc>
        <w:tc>
          <w:tcPr>
            <w:tcW w:w="7379" w:type="dxa"/>
            <w:gridSpan w:val="2"/>
            <w:shd w:val="clear" w:color="auto" w:fill="FFFFFF"/>
          </w:tcPr>
          <w:p w14:paraId="6DFA355F" w14:textId="3B0574C0" w:rsidR="00881B4D" w:rsidRPr="000B6B22" w:rsidRDefault="00881B4D" w:rsidP="009D4EFF">
            <w:pPr>
              <w:spacing w:before="0"/>
              <w:ind w:left="-40"/>
              <w:rPr>
                <w:rFonts w:ascii="Times New Roman" w:hAnsi="Times New Roman"/>
                <w:b/>
                <w:bCs/>
                <w:sz w:val="24"/>
              </w:rPr>
            </w:pPr>
            <w:r>
              <w:rPr>
                <w:rFonts w:ascii="Times New Roman" w:hAnsi="Times New Roman"/>
                <w:b/>
                <w:sz w:val="24"/>
              </w:rPr>
              <w:t>22. Ποσό του πλεονάσματος των ρευστών στοιχείων ενεργητικού</w:t>
            </w:r>
          </w:p>
          <w:p w14:paraId="1BE025DD" w14:textId="77777777" w:rsidR="00881B4D" w:rsidRPr="000B6B22" w:rsidRDefault="00881B4D" w:rsidP="009D4EFF">
            <w:pPr>
              <w:spacing w:before="0"/>
              <w:ind w:left="-40"/>
              <w:rPr>
                <w:rFonts w:ascii="Times New Roman" w:hAnsi="Times New Roman"/>
                <w:bCs/>
                <w:sz w:val="24"/>
              </w:rPr>
            </w:pPr>
            <w:r>
              <w:rPr>
                <w:rFonts w:ascii="Times New Roman" w:hAnsi="Times New Roman"/>
                <w:sz w:val="24"/>
              </w:rPr>
              <w:lastRenderedPageBreak/>
              <w:t>Παράρτημα I σημείο 4</w:t>
            </w:r>
          </w:p>
          <w:p w14:paraId="42B29289" w14:textId="587EB2F9" w:rsidR="00881B4D" w:rsidRPr="000B6B22" w:rsidRDefault="00D226C2" w:rsidP="009D4EFF">
            <w:pPr>
              <w:autoSpaceDE w:val="0"/>
              <w:autoSpaceDN w:val="0"/>
              <w:adjustRightInd w:val="0"/>
              <w:spacing w:before="0"/>
              <w:ind w:left="-40"/>
              <w:rPr>
                <w:rFonts w:ascii="Times New Roman" w:hAnsi="Times New Roman"/>
                <w:bCs/>
                <w:sz w:val="24"/>
              </w:rPr>
            </w:pPr>
            <w:r>
              <w:rPr>
                <w:rFonts w:ascii="Times New Roman" w:hAnsi="Times New Roman"/>
                <w:sz w:val="24"/>
              </w:rPr>
              <w:t>Τα ιδρύματα αναφέρουν το «ποσό του πλεονάσματος των ρευστών στοιχείων ενεργητικού»: το ποσό αυτό ισούται με:</w:t>
            </w:r>
          </w:p>
          <w:p w14:paraId="57AC6DC8"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α) το προσαρμοσμένο ποσό των στοιχείων ενεργητικού επιπέδου 1 πλην καλυμμένων ομολόγων· συν</w:t>
            </w:r>
          </w:p>
          <w:p w14:paraId="0CFC7910"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β) το προσαρμοσμένο ποσό των καλυμμένων ομολόγων επιπέδου 1· συν</w:t>
            </w:r>
          </w:p>
          <w:p w14:paraId="4CBD0166"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γ) το προσαρμοσμένο ποσό των στοιχείων ενεργητικού επιπέδου 2Α· συν</w:t>
            </w:r>
          </w:p>
          <w:p w14:paraId="09EB94CD"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δ) το προσαρμοσμένο ποσό των στοιχείων ενεργητικού επιπέδου 2Β·</w:t>
            </w:r>
          </w:p>
          <w:p w14:paraId="2DB841C8"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μείον το μικρότερο εκ των κατωτέρω ποσών:</w:t>
            </w:r>
          </w:p>
          <w:p w14:paraId="10C0702C"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ε) το άθροισμα των α), β), γ) και δ)·</w:t>
            </w:r>
          </w:p>
          <w:p w14:paraId="419C0BA5"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στ) 100/30 επί το α)·</w:t>
            </w:r>
          </w:p>
          <w:p w14:paraId="1A77939B"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ζ) 100/60 επί το άθροισμα των α) και β)·</w:t>
            </w:r>
          </w:p>
          <w:p w14:paraId="0D5300B5" w14:textId="0FA4F0EC"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η) 100/85 επί το άθροισμα των α), β) και γ).</w:t>
            </w:r>
          </w:p>
        </w:tc>
      </w:tr>
      <w:tr w:rsidR="00B47B7D" w:rsidRPr="000B6B22" w14:paraId="60CCBBE5" w14:textId="77777777" w:rsidTr="00454544">
        <w:tc>
          <w:tcPr>
            <w:tcW w:w="1099" w:type="dxa"/>
            <w:shd w:val="clear" w:color="auto" w:fill="FFFFFF"/>
            <w:vAlign w:val="center"/>
          </w:tcPr>
          <w:p w14:paraId="1DEADD0A" w14:textId="49BEBFF8" w:rsidR="00881B4D" w:rsidRPr="000B6B22" w:rsidRDefault="00DF552C" w:rsidP="009D4EFF">
            <w:pPr>
              <w:spacing w:before="0"/>
              <w:rPr>
                <w:rFonts w:ascii="Times New Roman" w:hAnsi="Times New Roman"/>
                <w:sz w:val="24"/>
              </w:rPr>
            </w:pPr>
            <w:r>
              <w:rPr>
                <w:rFonts w:ascii="Times New Roman" w:hAnsi="Times New Roman"/>
                <w:sz w:val="24"/>
              </w:rPr>
              <w:lastRenderedPageBreak/>
              <w:t>0290</w:t>
            </w:r>
          </w:p>
        </w:tc>
        <w:tc>
          <w:tcPr>
            <w:tcW w:w="7379" w:type="dxa"/>
            <w:gridSpan w:val="2"/>
            <w:shd w:val="clear" w:color="auto" w:fill="FFFFFF"/>
          </w:tcPr>
          <w:p w14:paraId="562E9821" w14:textId="5B5CB653" w:rsidR="00881B4D" w:rsidRPr="000B6B22" w:rsidRDefault="00881B4D" w:rsidP="009D4EFF">
            <w:pPr>
              <w:spacing w:before="0"/>
              <w:ind w:left="-40"/>
              <w:rPr>
                <w:rFonts w:ascii="Times New Roman" w:hAnsi="Times New Roman"/>
                <w:b/>
                <w:bCs/>
                <w:sz w:val="24"/>
              </w:rPr>
            </w:pPr>
            <w:r>
              <w:rPr>
                <w:rFonts w:ascii="Times New Roman" w:hAnsi="Times New Roman"/>
                <w:b/>
                <w:sz w:val="24"/>
              </w:rPr>
              <w:t>23. ΑΠΟΘΕΜΑ ΑΣΦΑΛΕΙΑΣ ΡΕΥΣΤΟΤΗΤΑΣ</w:t>
            </w:r>
          </w:p>
          <w:p w14:paraId="11B75DF8" w14:textId="77777777" w:rsidR="00881B4D" w:rsidRPr="000B6B22" w:rsidRDefault="00881B4D" w:rsidP="009D4EFF">
            <w:pPr>
              <w:spacing w:before="0"/>
              <w:ind w:left="-40"/>
              <w:rPr>
                <w:rFonts w:ascii="Times New Roman" w:hAnsi="Times New Roman"/>
                <w:bCs/>
                <w:sz w:val="24"/>
              </w:rPr>
            </w:pPr>
            <w:r>
              <w:rPr>
                <w:rFonts w:ascii="Times New Roman" w:hAnsi="Times New Roman"/>
                <w:sz w:val="24"/>
              </w:rPr>
              <w:t>Παράρτημα I σημείο 2</w:t>
            </w:r>
          </w:p>
          <w:p w14:paraId="10B18991" w14:textId="45BB47E1" w:rsidR="00881B4D" w:rsidRPr="000B6B22" w:rsidRDefault="00D226C2" w:rsidP="009D4EFF">
            <w:pPr>
              <w:autoSpaceDE w:val="0"/>
              <w:autoSpaceDN w:val="0"/>
              <w:adjustRightInd w:val="0"/>
              <w:spacing w:before="0"/>
              <w:ind w:left="-40"/>
              <w:rPr>
                <w:rFonts w:ascii="Times New Roman" w:hAnsi="Times New Roman"/>
                <w:bCs/>
                <w:sz w:val="24"/>
              </w:rPr>
            </w:pPr>
            <w:r>
              <w:rPr>
                <w:rFonts w:ascii="Times New Roman" w:hAnsi="Times New Roman"/>
                <w:sz w:val="24"/>
              </w:rPr>
              <w:t>Τα ιδρύματα αναφέρουν το απόθεμα ασφαλείας ρευστότητας που ισούται με:</w:t>
            </w:r>
          </w:p>
          <w:p w14:paraId="05F729F0"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α) το ποσό των στοιχείων ενεργητικού επιπέδου 1· συν</w:t>
            </w:r>
          </w:p>
          <w:p w14:paraId="7610A0BE"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β) το ποσό των στοιχείων ενεργητικού επιπέδου 2Α· συν</w:t>
            </w:r>
          </w:p>
          <w:p w14:paraId="76F3A0F1"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γ) το ποσό των στοιχείων ενεργητικού επιπέδου 2Β·</w:t>
            </w:r>
          </w:p>
          <w:p w14:paraId="7B722A91"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μείον το μικρότερο εκ των κατωτέρω ποσών:</w:t>
            </w:r>
          </w:p>
          <w:p w14:paraId="65D807F7"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δ) το άθροισμα των α), β) και γ)· ή</w:t>
            </w:r>
          </w:p>
          <w:p w14:paraId="13B34E3A" w14:textId="3CC15AC8"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ε) το «ποσό του πλεονάσματος των ρευστών στοιχείων ενεργητικού».</w:t>
            </w:r>
          </w:p>
        </w:tc>
      </w:tr>
      <w:tr w:rsidR="00B47B7D" w:rsidRPr="000B6B22" w14:paraId="4F71A3D6" w14:textId="77777777" w:rsidTr="00454544">
        <w:tc>
          <w:tcPr>
            <w:tcW w:w="8478" w:type="dxa"/>
            <w:gridSpan w:val="3"/>
            <w:shd w:val="clear" w:color="auto" w:fill="D9D9D9"/>
            <w:vAlign w:val="center"/>
          </w:tcPr>
          <w:p w14:paraId="29511C34" w14:textId="77777777" w:rsidR="00881B4D" w:rsidRPr="000B6B22" w:rsidRDefault="00881B4D">
            <w:pPr>
              <w:spacing w:before="0"/>
              <w:ind w:left="56"/>
              <w:rPr>
                <w:rFonts w:ascii="Times New Roman" w:hAnsi="Times New Roman"/>
                <w:b/>
                <w:bCs/>
                <w:sz w:val="24"/>
              </w:rPr>
            </w:pPr>
            <w:r>
              <w:rPr>
                <w:rFonts w:ascii="Times New Roman" w:hAnsi="Times New Roman"/>
                <w:b/>
                <w:sz w:val="24"/>
              </w:rPr>
              <w:t>Υπολογισμός παρονομαστή</w:t>
            </w:r>
          </w:p>
          <w:p w14:paraId="38ABE3FC" w14:textId="60C46E8A" w:rsidR="00881B4D" w:rsidRPr="000B6B22" w:rsidRDefault="00754B43">
            <w:pPr>
              <w:spacing w:before="0"/>
              <w:ind w:left="56"/>
              <w:rPr>
                <w:rFonts w:ascii="Times New Roman" w:hAnsi="Times New Roman"/>
                <w:sz w:val="24"/>
              </w:rPr>
            </w:pPr>
            <w:r>
              <w:rPr>
                <w:rFonts w:ascii="Times New Roman" w:hAnsi="Times New Roman"/>
                <w:sz w:val="24"/>
              </w:rPr>
              <w:t>Παράρτημα II του κατ’ εξουσιοδότηση κανονισμού (ΕΕ) 2015/61</w:t>
            </w:r>
          </w:p>
          <w:p w14:paraId="423C2CEE" w14:textId="77777777" w:rsidR="00881B4D" w:rsidRPr="000B6B22" w:rsidRDefault="00881B4D">
            <w:pPr>
              <w:spacing w:before="0"/>
              <w:ind w:left="56"/>
              <w:rPr>
                <w:rFonts w:ascii="Times New Roman" w:hAnsi="Times New Roman"/>
                <w:sz w:val="24"/>
              </w:rPr>
            </w:pPr>
            <w:r>
              <w:rPr>
                <w:rFonts w:ascii="Times New Roman" w:hAnsi="Times New Roman"/>
                <w:sz w:val="24"/>
              </w:rPr>
              <w:t>Τύπος για τον υπολογισμό της καθαρής εκροής ρευστότητας</w:t>
            </w:r>
          </w:p>
          <w:p w14:paraId="199482B3" w14:textId="77777777" w:rsidR="00881B4D" w:rsidRPr="000B6B22" w:rsidRDefault="00881B4D">
            <w:pPr>
              <w:spacing w:before="0"/>
              <w:ind w:left="56"/>
              <w:rPr>
                <w:rFonts w:ascii="Times New Roman" w:hAnsi="Times New Roman"/>
                <w:sz w:val="24"/>
              </w:rPr>
            </w:pPr>
            <w:r>
              <w:rPr>
                <w:rFonts w:ascii="Times New Roman" w:hAnsi="Times New Roman"/>
                <w:sz w:val="24"/>
              </w:rPr>
              <w:t>Όπου:</w:t>
            </w:r>
          </w:p>
          <w:p w14:paraId="7166D781" w14:textId="77777777" w:rsidR="00881B4D" w:rsidRPr="000B6B22" w:rsidRDefault="00881B4D">
            <w:pPr>
              <w:spacing w:before="0"/>
              <w:ind w:left="56"/>
              <w:rPr>
                <w:rFonts w:ascii="Times New Roman" w:hAnsi="Times New Roman"/>
                <w:sz w:val="24"/>
              </w:rPr>
            </w:pPr>
            <w:r>
              <w:rPr>
                <w:rFonts w:ascii="Times New Roman" w:hAnsi="Times New Roman"/>
                <w:sz w:val="24"/>
              </w:rPr>
              <w:t>NLO = (Net liquidity outflow) Καθαρές εκροές ρευστότητας</w:t>
            </w:r>
          </w:p>
          <w:p w14:paraId="11665ED6" w14:textId="77777777" w:rsidR="00881B4D" w:rsidRPr="000B6B22" w:rsidRDefault="00881B4D">
            <w:pPr>
              <w:spacing w:before="0"/>
              <w:ind w:left="56"/>
              <w:rPr>
                <w:rFonts w:ascii="Times New Roman" w:hAnsi="Times New Roman"/>
                <w:sz w:val="24"/>
              </w:rPr>
            </w:pPr>
            <w:r>
              <w:rPr>
                <w:rFonts w:ascii="Times New Roman" w:hAnsi="Times New Roman"/>
                <w:sz w:val="24"/>
              </w:rPr>
              <w:t>TO = (Total outflows) Συνολικές εκροές</w:t>
            </w:r>
          </w:p>
          <w:p w14:paraId="1F50EBAB" w14:textId="77777777" w:rsidR="00881B4D" w:rsidRPr="000B6B22" w:rsidRDefault="00881B4D">
            <w:pPr>
              <w:spacing w:before="0"/>
              <w:ind w:left="56"/>
              <w:rPr>
                <w:rFonts w:ascii="Times New Roman" w:hAnsi="Times New Roman"/>
                <w:sz w:val="24"/>
              </w:rPr>
            </w:pPr>
            <w:r>
              <w:rPr>
                <w:rFonts w:ascii="Times New Roman" w:hAnsi="Times New Roman"/>
                <w:sz w:val="24"/>
              </w:rPr>
              <w:t>TI = (Total inflows) Συνολικές εισροές</w:t>
            </w:r>
          </w:p>
          <w:p w14:paraId="7E6DD43C" w14:textId="77777777" w:rsidR="00881B4D" w:rsidRPr="000B6B22" w:rsidRDefault="00881B4D">
            <w:pPr>
              <w:spacing w:before="0"/>
              <w:ind w:left="56"/>
              <w:rPr>
                <w:rFonts w:ascii="Times New Roman" w:hAnsi="Times New Roman"/>
                <w:sz w:val="24"/>
              </w:rPr>
            </w:pPr>
            <w:r>
              <w:rPr>
                <w:rFonts w:ascii="Times New Roman" w:hAnsi="Times New Roman"/>
                <w:sz w:val="24"/>
              </w:rPr>
              <w:t>FEI = (Fully exempted inflows) Πλήρως εξαιρούμενες εισροές</w:t>
            </w:r>
          </w:p>
          <w:p w14:paraId="56740F2F" w14:textId="77777777" w:rsidR="00881B4D" w:rsidRPr="000B6B22" w:rsidRDefault="00881B4D">
            <w:pPr>
              <w:spacing w:before="0"/>
              <w:ind w:left="56"/>
              <w:rPr>
                <w:rFonts w:ascii="Times New Roman" w:hAnsi="Times New Roman"/>
                <w:sz w:val="24"/>
              </w:rPr>
            </w:pPr>
            <w:r>
              <w:rPr>
                <w:rFonts w:ascii="Times New Roman" w:hAnsi="Times New Roman"/>
                <w:sz w:val="24"/>
              </w:rPr>
              <w:t>IHC = (Inflows subject to higher cap of 90 % outflows) Εισροές υποκείμενες σε υψηλότερο ανώτατο όριο 90 % επί των εκροών</w:t>
            </w:r>
          </w:p>
          <w:p w14:paraId="3D7774FC" w14:textId="77777777" w:rsidR="00881B4D" w:rsidRPr="000B6B22" w:rsidRDefault="00881B4D">
            <w:pPr>
              <w:spacing w:before="0"/>
              <w:ind w:left="56"/>
              <w:rPr>
                <w:rFonts w:ascii="Times New Roman" w:hAnsi="Times New Roman"/>
                <w:sz w:val="24"/>
              </w:rPr>
            </w:pPr>
            <w:r>
              <w:rPr>
                <w:rFonts w:ascii="Times New Roman" w:hAnsi="Times New Roman"/>
                <w:sz w:val="24"/>
              </w:rPr>
              <w:t>IC = (Inflows subject to cap of 75 % of outflows) Εισροές υποκείμενες σε ανώτατο όριο 75 % επί των εκροών</w:t>
            </w:r>
          </w:p>
          <w:p w14:paraId="4128A5E9" w14:textId="23DC3EAC" w:rsidR="00881B4D" w:rsidRPr="000B6B22" w:rsidRDefault="0095691D" w:rsidP="009D4EFF">
            <w:pPr>
              <w:spacing w:before="0"/>
              <w:rPr>
                <w:rFonts w:ascii="Times New Roman" w:hAnsi="Times New Roman"/>
                <w:bCs/>
                <w:sz w:val="24"/>
              </w:rPr>
            </w:pPr>
            <w:r>
              <w:rPr>
                <w:rFonts w:ascii="Times New Roman" w:hAnsi="Times New Roman"/>
                <w:sz w:val="24"/>
              </w:rPr>
              <w:t>Τα ιδρύματα αναφέρουν όλα τα κατωτέρω στοιχεία στη στήλη 0010 μιας συγκεκριμένης γραμμής.</w:t>
            </w:r>
          </w:p>
        </w:tc>
      </w:tr>
      <w:tr w:rsidR="00B47B7D" w:rsidRPr="000B6B22" w14:paraId="0D049B88" w14:textId="77777777" w:rsidTr="00454544">
        <w:tc>
          <w:tcPr>
            <w:tcW w:w="1099" w:type="dxa"/>
            <w:shd w:val="clear" w:color="auto" w:fill="FFFFFF"/>
            <w:vAlign w:val="center"/>
          </w:tcPr>
          <w:p w14:paraId="55A73623" w14:textId="6A09EF0E" w:rsidR="00881B4D" w:rsidRPr="000B6B22" w:rsidRDefault="00DF552C" w:rsidP="009D4EFF">
            <w:pPr>
              <w:spacing w:before="0"/>
              <w:rPr>
                <w:rFonts w:ascii="Times New Roman" w:hAnsi="Times New Roman"/>
                <w:sz w:val="24"/>
              </w:rPr>
            </w:pPr>
            <w:r>
              <w:rPr>
                <w:rFonts w:ascii="Times New Roman" w:hAnsi="Times New Roman"/>
                <w:sz w:val="24"/>
              </w:rPr>
              <w:lastRenderedPageBreak/>
              <w:t>0300</w:t>
            </w:r>
          </w:p>
        </w:tc>
        <w:tc>
          <w:tcPr>
            <w:tcW w:w="7379" w:type="dxa"/>
            <w:gridSpan w:val="2"/>
            <w:shd w:val="clear" w:color="auto" w:fill="FFFFFF"/>
          </w:tcPr>
          <w:p w14:paraId="0AD4BE0D" w14:textId="0ECB806C" w:rsidR="00881B4D" w:rsidRPr="000B6B22" w:rsidRDefault="00881B4D" w:rsidP="009D4EFF">
            <w:pPr>
              <w:spacing w:before="0"/>
              <w:rPr>
                <w:rFonts w:ascii="Times New Roman" w:hAnsi="Times New Roman"/>
                <w:b/>
                <w:bCs/>
                <w:sz w:val="24"/>
              </w:rPr>
            </w:pPr>
            <w:r>
              <w:rPr>
                <w:rFonts w:ascii="Times New Roman" w:hAnsi="Times New Roman"/>
                <w:b/>
                <w:sz w:val="24"/>
              </w:rPr>
              <w:t>24. Συνολικές εκροές</w:t>
            </w:r>
          </w:p>
          <w:p w14:paraId="1E8BAA54" w14:textId="77777777" w:rsidR="00881B4D" w:rsidRPr="000B6B22" w:rsidRDefault="00881B4D" w:rsidP="009D4EFF">
            <w:pPr>
              <w:spacing w:before="0"/>
              <w:rPr>
                <w:rFonts w:ascii="Times New Roman" w:hAnsi="Times New Roman"/>
                <w:bCs/>
                <w:sz w:val="24"/>
              </w:rPr>
            </w:pPr>
            <w:r>
              <w:rPr>
                <w:rFonts w:ascii="Times New Roman" w:hAnsi="Times New Roman"/>
                <w:sz w:val="24"/>
              </w:rPr>
              <w:t>TO = από το φύλλο εκροών</w:t>
            </w:r>
          </w:p>
          <w:p w14:paraId="23CD10A7" w14:textId="34DF4EFE" w:rsidR="00881B4D" w:rsidRPr="000B6B22" w:rsidRDefault="0095691D" w:rsidP="009D4EFF">
            <w:pPr>
              <w:spacing w:before="0"/>
              <w:rPr>
                <w:rFonts w:ascii="Times New Roman" w:hAnsi="Times New Roman"/>
                <w:bCs/>
                <w:sz w:val="24"/>
              </w:rPr>
            </w:pPr>
            <w:r>
              <w:rPr>
                <w:rFonts w:ascii="Times New Roman" w:hAnsi="Times New Roman"/>
                <w:sz w:val="24"/>
              </w:rPr>
              <w:t>Τα ιδρύματα αναφέρουν την τιμή από {C 73.00, r0010, c0060}.</w:t>
            </w:r>
          </w:p>
        </w:tc>
      </w:tr>
      <w:tr w:rsidR="00B47B7D" w:rsidRPr="000B6B22" w14:paraId="6D89B9B1" w14:textId="77777777" w:rsidTr="00454544">
        <w:tc>
          <w:tcPr>
            <w:tcW w:w="1099" w:type="dxa"/>
            <w:shd w:val="clear" w:color="auto" w:fill="FFFFFF"/>
            <w:vAlign w:val="center"/>
          </w:tcPr>
          <w:p w14:paraId="04CF611D" w14:textId="551206D3" w:rsidR="00881B4D" w:rsidRPr="000B6B22" w:rsidRDefault="00DF552C" w:rsidP="009D4EFF">
            <w:pPr>
              <w:spacing w:before="0"/>
              <w:rPr>
                <w:rFonts w:ascii="Times New Roman" w:hAnsi="Times New Roman"/>
                <w:sz w:val="24"/>
              </w:rPr>
            </w:pPr>
            <w:r>
              <w:rPr>
                <w:rFonts w:ascii="Times New Roman" w:hAnsi="Times New Roman"/>
                <w:sz w:val="24"/>
              </w:rPr>
              <w:t>0310</w:t>
            </w:r>
          </w:p>
        </w:tc>
        <w:tc>
          <w:tcPr>
            <w:tcW w:w="7379" w:type="dxa"/>
            <w:gridSpan w:val="2"/>
            <w:shd w:val="clear" w:color="auto" w:fill="FFFFFF"/>
            <w:vAlign w:val="center"/>
          </w:tcPr>
          <w:p w14:paraId="22CD4B90" w14:textId="300A62C9" w:rsidR="00881B4D" w:rsidRPr="000B6B22" w:rsidRDefault="00881B4D" w:rsidP="009D4EFF">
            <w:pPr>
              <w:spacing w:before="0"/>
              <w:rPr>
                <w:rFonts w:ascii="Times New Roman" w:hAnsi="Times New Roman"/>
                <w:b/>
                <w:bCs/>
                <w:sz w:val="24"/>
              </w:rPr>
            </w:pPr>
            <w:r>
              <w:rPr>
                <w:rFonts w:ascii="Times New Roman" w:hAnsi="Times New Roman"/>
                <w:b/>
                <w:sz w:val="24"/>
              </w:rPr>
              <w:t>25. Πλήρως εξαιρούμενες εισροές</w:t>
            </w:r>
          </w:p>
          <w:p w14:paraId="38D8855E" w14:textId="77777777" w:rsidR="00881B4D" w:rsidRPr="000B6B22" w:rsidRDefault="00881B4D" w:rsidP="009D4EFF">
            <w:pPr>
              <w:spacing w:before="0"/>
              <w:rPr>
                <w:rFonts w:ascii="Times New Roman" w:hAnsi="Times New Roman"/>
                <w:bCs/>
                <w:sz w:val="24"/>
              </w:rPr>
            </w:pPr>
            <w:r>
              <w:rPr>
                <w:rFonts w:ascii="Times New Roman" w:hAnsi="Times New Roman"/>
                <w:sz w:val="24"/>
              </w:rPr>
              <w:t>FEI = από το φύλλο εισροών</w:t>
            </w:r>
          </w:p>
          <w:p w14:paraId="26D5A78E" w14:textId="1C81525B" w:rsidR="00881B4D" w:rsidRPr="000B6B22" w:rsidRDefault="0095691D" w:rsidP="009D4EFF">
            <w:pPr>
              <w:spacing w:before="0"/>
              <w:rPr>
                <w:rFonts w:ascii="Times New Roman" w:hAnsi="Times New Roman"/>
                <w:bCs/>
                <w:sz w:val="24"/>
              </w:rPr>
            </w:pPr>
            <w:r>
              <w:rPr>
                <w:rFonts w:ascii="Times New Roman" w:hAnsi="Times New Roman"/>
                <w:sz w:val="24"/>
              </w:rPr>
              <w:t>Τα ιδρύματα αναφέρουν την τιμή από {C 74.00, r0010, c0160}.</w:t>
            </w:r>
          </w:p>
        </w:tc>
      </w:tr>
      <w:tr w:rsidR="00B47B7D" w:rsidRPr="000B6B22" w14:paraId="3DF700DD" w14:textId="77777777" w:rsidTr="00454544">
        <w:tc>
          <w:tcPr>
            <w:tcW w:w="1099" w:type="dxa"/>
            <w:shd w:val="clear" w:color="auto" w:fill="FFFFFF"/>
            <w:vAlign w:val="center"/>
          </w:tcPr>
          <w:p w14:paraId="57A5A39A" w14:textId="72F2329D" w:rsidR="00881B4D" w:rsidRPr="000B6B22" w:rsidRDefault="00DF552C" w:rsidP="009D4EFF">
            <w:pPr>
              <w:spacing w:before="0"/>
              <w:rPr>
                <w:rFonts w:ascii="Times New Roman" w:hAnsi="Times New Roman"/>
                <w:sz w:val="24"/>
              </w:rPr>
            </w:pPr>
            <w:r>
              <w:rPr>
                <w:rFonts w:ascii="Times New Roman" w:hAnsi="Times New Roman"/>
                <w:sz w:val="24"/>
              </w:rPr>
              <w:t>0320</w:t>
            </w:r>
          </w:p>
        </w:tc>
        <w:tc>
          <w:tcPr>
            <w:tcW w:w="7379" w:type="dxa"/>
            <w:gridSpan w:val="2"/>
            <w:shd w:val="clear" w:color="auto" w:fill="FFFFFF"/>
            <w:vAlign w:val="center"/>
          </w:tcPr>
          <w:p w14:paraId="08821ECB" w14:textId="197C91AA" w:rsidR="00881B4D" w:rsidRPr="000B6B22" w:rsidRDefault="00881B4D" w:rsidP="009D4EFF">
            <w:pPr>
              <w:spacing w:before="0"/>
              <w:rPr>
                <w:rFonts w:ascii="Times New Roman" w:hAnsi="Times New Roman"/>
                <w:b/>
                <w:bCs/>
                <w:sz w:val="24"/>
              </w:rPr>
            </w:pPr>
            <w:r>
              <w:rPr>
                <w:rFonts w:ascii="Times New Roman" w:hAnsi="Times New Roman"/>
                <w:b/>
                <w:sz w:val="24"/>
              </w:rPr>
              <w:t>26. Εισροές υποκείμενες σε ανώτατο όριο 90 %</w:t>
            </w:r>
          </w:p>
          <w:p w14:paraId="0221BC71" w14:textId="28413D9C" w:rsidR="00881B4D" w:rsidRPr="000B6B22" w:rsidRDefault="00881B4D" w:rsidP="009D4EFF">
            <w:pPr>
              <w:spacing w:before="0"/>
              <w:rPr>
                <w:rFonts w:ascii="Times New Roman" w:hAnsi="Times New Roman"/>
                <w:bCs/>
                <w:sz w:val="24"/>
              </w:rPr>
            </w:pPr>
            <w:r>
              <w:rPr>
                <w:rFonts w:ascii="Times New Roman" w:hAnsi="Times New Roman"/>
                <w:sz w:val="24"/>
              </w:rPr>
              <w:t>IHC = από το φύλλο εισροών</w:t>
            </w:r>
          </w:p>
          <w:p w14:paraId="32BDFF46" w14:textId="1BEBBB05" w:rsidR="00881B4D" w:rsidRPr="000B6B22" w:rsidRDefault="0095691D" w:rsidP="009D4EFF">
            <w:pPr>
              <w:spacing w:before="0"/>
              <w:rPr>
                <w:rFonts w:ascii="Times New Roman" w:hAnsi="Times New Roman"/>
                <w:bCs/>
                <w:sz w:val="24"/>
              </w:rPr>
            </w:pPr>
            <w:r>
              <w:rPr>
                <w:rFonts w:ascii="Times New Roman" w:hAnsi="Times New Roman"/>
                <w:sz w:val="24"/>
              </w:rPr>
              <w:t>Τα ιδρύματα αναφέρουν την τιμή από {C 74.00, r0010, c0150}.</w:t>
            </w:r>
          </w:p>
        </w:tc>
      </w:tr>
      <w:tr w:rsidR="00B47B7D" w:rsidRPr="000B6B22" w14:paraId="2351714D" w14:textId="77777777" w:rsidTr="00454544">
        <w:tc>
          <w:tcPr>
            <w:tcW w:w="1099" w:type="dxa"/>
            <w:shd w:val="clear" w:color="auto" w:fill="FFFFFF"/>
            <w:vAlign w:val="center"/>
          </w:tcPr>
          <w:p w14:paraId="47E8EF5B" w14:textId="4ECB3074" w:rsidR="00881B4D" w:rsidRPr="000B6B22" w:rsidRDefault="00DF552C" w:rsidP="009D4EFF">
            <w:pPr>
              <w:spacing w:before="0"/>
              <w:rPr>
                <w:rFonts w:ascii="Times New Roman" w:hAnsi="Times New Roman"/>
                <w:sz w:val="24"/>
              </w:rPr>
            </w:pPr>
            <w:r>
              <w:rPr>
                <w:rFonts w:ascii="Times New Roman" w:hAnsi="Times New Roman"/>
                <w:sz w:val="24"/>
              </w:rPr>
              <w:t>0330</w:t>
            </w:r>
          </w:p>
        </w:tc>
        <w:tc>
          <w:tcPr>
            <w:tcW w:w="7379" w:type="dxa"/>
            <w:gridSpan w:val="2"/>
            <w:shd w:val="clear" w:color="auto" w:fill="FFFFFF"/>
            <w:vAlign w:val="center"/>
          </w:tcPr>
          <w:p w14:paraId="4E33646D" w14:textId="5AECD5A9" w:rsidR="00881B4D" w:rsidRPr="000B6B22" w:rsidRDefault="00881B4D" w:rsidP="009D4EFF">
            <w:pPr>
              <w:spacing w:before="0"/>
              <w:rPr>
                <w:rFonts w:ascii="Times New Roman" w:hAnsi="Times New Roman"/>
                <w:b/>
                <w:bCs/>
                <w:sz w:val="24"/>
              </w:rPr>
            </w:pPr>
            <w:r>
              <w:rPr>
                <w:rFonts w:ascii="Times New Roman" w:hAnsi="Times New Roman"/>
                <w:b/>
                <w:sz w:val="24"/>
              </w:rPr>
              <w:t>27. Εισροές υποκείμενες σε ανώτατο όριο 75 %</w:t>
            </w:r>
          </w:p>
          <w:p w14:paraId="40126C80" w14:textId="3D7274F3" w:rsidR="00881B4D" w:rsidRPr="000B6B22" w:rsidRDefault="00881B4D" w:rsidP="009D4EFF">
            <w:pPr>
              <w:spacing w:before="0"/>
              <w:rPr>
                <w:rFonts w:ascii="Times New Roman" w:hAnsi="Times New Roman"/>
                <w:bCs/>
                <w:sz w:val="24"/>
              </w:rPr>
            </w:pPr>
            <w:r>
              <w:rPr>
                <w:rFonts w:ascii="Times New Roman" w:hAnsi="Times New Roman"/>
                <w:sz w:val="24"/>
              </w:rPr>
              <w:t>IC = από το φύλλο εισροών</w:t>
            </w:r>
          </w:p>
          <w:p w14:paraId="35449694" w14:textId="16A7178A" w:rsidR="00881B4D" w:rsidRPr="000B6B22" w:rsidRDefault="0095691D" w:rsidP="009D4EFF">
            <w:pPr>
              <w:spacing w:before="0"/>
              <w:rPr>
                <w:rFonts w:ascii="Times New Roman" w:hAnsi="Times New Roman"/>
                <w:bCs/>
                <w:sz w:val="24"/>
              </w:rPr>
            </w:pPr>
            <w:r>
              <w:rPr>
                <w:rFonts w:ascii="Times New Roman" w:hAnsi="Times New Roman"/>
                <w:sz w:val="24"/>
              </w:rPr>
              <w:t>Τα ιδρύματα αναφέρουν την τιμή από {C 74.00, r0010, c0140}.</w:t>
            </w:r>
          </w:p>
        </w:tc>
      </w:tr>
      <w:tr w:rsidR="00B47B7D" w:rsidRPr="000B6B22" w14:paraId="12C2EA1D" w14:textId="77777777" w:rsidTr="00454544">
        <w:tc>
          <w:tcPr>
            <w:tcW w:w="1099" w:type="dxa"/>
            <w:shd w:val="clear" w:color="auto" w:fill="FFFFFF"/>
            <w:vAlign w:val="center"/>
          </w:tcPr>
          <w:p w14:paraId="06746008" w14:textId="082C0EE6" w:rsidR="00881B4D" w:rsidRPr="000B6B22" w:rsidRDefault="00DF552C" w:rsidP="009D4EFF">
            <w:pPr>
              <w:spacing w:before="0"/>
              <w:rPr>
                <w:rFonts w:ascii="Times New Roman" w:hAnsi="Times New Roman"/>
                <w:sz w:val="24"/>
              </w:rPr>
            </w:pPr>
            <w:r>
              <w:rPr>
                <w:rFonts w:ascii="Times New Roman" w:hAnsi="Times New Roman"/>
                <w:sz w:val="24"/>
              </w:rPr>
              <w:t>0340</w:t>
            </w:r>
          </w:p>
        </w:tc>
        <w:tc>
          <w:tcPr>
            <w:tcW w:w="7379" w:type="dxa"/>
            <w:gridSpan w:val="2"/>
            <w:shd w:val="clear" w:color="auto" w:fill="FFFFFF"/>
            <w:vAlign w:val="center"/>
          </w:tcPr>
          <w:p w14:paraId="1C1E08AE" w14:textId="233EC1B5" w:rsidR="00881B4D" w:rsidRPr="000B6B22" w:rsidRDefault="00881B4D" w:rsidP="009D4EFF">
            <w:pPr>
              <w:spacing w:before="0"/>
              <w:rPr>
                <w:rFonts w:ascii="Times New Roman" w:hAnsi="Times New Roman"/>
                <w:sz w:val="24"/>
              </w:rPr>
            </w:pPr>
            <w:r>
              <w:rPr>
                <w:rFonts w:ascii="Times New Roman" w:hAnsi="Times New Roman"/>
                <w:b/>
                <w:sz w:val="24"/>
              </w:rPr>
              <w:t>28. Μείωση για τις πλήρως εξαιρούμενες εισροές</w:t>
            </w:r>
          </w:p>
          <w:p w14:paraId="473FC23E" w14:textId="3999F58D" w:rsidR="00881B4D" w:rsidRPr="000B6B22" w:rsidRDefault="0095691D" w:rsidP="009D4EFF">
            <w:pPr>
              <w:spacing w:before="0"/>
              <w:rPr>
                <w:rFonts w:ascii="Times New Roman" w:hAnsi="Times New Roman"/>
                <w:bCs/>
                <w:sz w:val="24"/>
              </w:rPr>
            </w:pPr>
            <w:r>
              <w:rPr>
                <w:rFonts w:ascii="Times New Roman" w:hAnsi="Times New Roman"/>
                <w:sz w:val="24"/>
              </w:rPr>
              <w:t>Τα ιδρύματα αναφέρουν τα ακόλουθα μέρη του υπολογισμού NLO:</w:t>
            </w:r>
          </w:p>
          <w:p w14:paraId="7DE69A85" w14:textId="626DEFEC" w:rsidR="00881B4D" w:rsidRPr="000B6B22" w:rsidRDefault="00881B4D" w:rsidP="009D4EFF">
            <w:pPr>
              <w:spacing w:before="0"/>
              <w:rPr>
                <w:rFonts w:ascii="Times New Roman" w:hAnsi="Times New Roman"/>
                <w:bCs/>
                <w:sz w:val="24"/>
              </w:rPr>
            </w:pPr>
            <w:r>
              <w:rPr>
                <w:rFonts w:ascii="Times New Roman" w:hAnsi="Times New Roman"/>
                <w:sz w:val="24"/>
              </w:rPr>
              <w:t>= MIN (FEI, TO).</w:t>
            </w:r>
          </w:p>
        </w:tc>
      </w:tr>
      <w:tr w:rsidR="00B47B7D" w:rsidRPr="00301219" w14:paraId="19A3B993" w14:textId="77777777" w:rsidTr="00454544">
        <w:tc>
          <w:tcPr>
            <w:tcW w:w="1099" w:type="dxa"/>
            <w:shd w:val="clear" w:color="auto" w:fill="FFFFFF"/>
            <w:vAlign w:val="center"/>
          </w:tcPr>
          <w:p w14:paraId="5A9C0F82" w14:textId="3A92F43C" w:rsidR="00881B4D" w:rsidRPr="000B6B22" w:rsidRDefault="00DF552C" w:rsidP="009D4EFF">
            <w:pPr>
              <w:spacing w:before="0"/>
              <w:rPr>
                <w:rFonts w:ascii="Times New Roman" w:hAnsi="Times New Roman"/>
                <w:sz w:val="24"/>
              </w:rPr>
            </w:pPr>
            <w:r>
              <w:rPr>
                <w:rFonts w:ascii="Times New Roman" w:hAnsi="Times New Roman"/>
                <w:sz w:val="24"/>
              </w:rPr>
              <w:t>0350</w:t>
            </w:r>
          </w:p>
        </w:tc>
        <w:tc>
          <w:tcPr>
            <w:tcW w:w="7379" w:type="dxa"/>
            <w:gridSpan w:val="2"/>
            <w:shd w:val="clear" w:color="auto" w:fill="FFFFFF"/>
            <w:vAlign w:val="center"/>
          </w:tcPr>
          <w:p w14:paraId="300BD82D" w14:textId="18AD4C2D" w:rsidR="00881B4D" w:rsidRPr="000B6B22" w:rsidRDefault="00881B4D" w:rsidP="009D4EFF">
            <w:pPr>
              <w:spacing w:before="0"/>
              <w:rPr>
                <w:rFonts w:ascii="Times New Roman" w:hAnsi="Times New Roman"/>
                <w:b/>
                <w:bCs/>
                <w:sz w:val="24"/>
              </w:rPr>
            </w:pPr>
            <w:r>
              <w:rPr>
                <w:rFonts w:ascii="Times New Roman" w:hAnsi="Times New Roman"/>
                <w:b/>
                <w:sz w:val="24"/>
              </w:rPr>
              <w:t>29. Μείωση για τις εισροές που υπόκεινται σε ανώτατο όριο 90 %</w:t>
            </w:r>
          </w:p>
          <w:p w14:paraId="789B1DB6" w14:textId="68A84326" w:rsidR="00881B4D" w:rsidRPr="000B6B22" w:rsidRDefault="0095691D" w:rsidP="009D4EFF">
            <w:pPr>
              <w:spacing w:before="0"/>
              <w:rPr>
                <w:rFonts w:ascii="Times New Roman" w:hAnsi="Times New Roman"/>
                <w:bCs/>
                <w:sz w:val="24"/>
              </w:rPr>
            </w:pPr>
            <w:r>
              <w:rPr>
                <w:rFonts w:ascii="Times New Roman" w:hAnsi="Times New Roman"/>
                <w:sz w:val="24"/>
              </w:rPr>
              <w:t>Τα ιδρύματα αναφέρουν τα ακόλουθα μέρη του υπολογισμού NLO:</w:t>
            </w:r>
          </w:p>
          <w:p w14:paraId="4B265BFC" w14:textId="1A24E711" w:rsidR="00881B4D" w:rsidRPr="00301219" w:rsidRDefault="00881B4D" w:rsidP="009D4EFF">
            <w:pPr>
              <w:spacing w:before="0"/>
              <w:rPr>
                <w:rFonts w:ascii="Times New Roman" w:hAnsi="Times New Roman"/>
                <w:b/>
                <w:bCs/>
                <w:sz w:val="24"/>
                <w:lang w:val="en-IE"/>
              </w:rPr>
            </w:pPr>
            <w:r w:rsidRPr="00301219">
              <w:rPr>
                <w:rFonts w:ascii="Times New Roman" w:hAnsi="Times New Roman"/>
                <w:sz w:val="24"/>
                <w:lang w:val="en-IE"/>
              </w:rPr>
              <w:t>= MIN (IHC, 0,9*</w:t>
            </w:r>
            <w:proofErr w:type="gramStart"/>
            <w:r w:rsidRPr="00301219">
              <w:rPr>
                <w:rFonts w:ascii="Times New Roman" w:hAnsi="Times New Roman"/>
                <w:sz w:val="24"/>
                <w:lang w:val="en-IE"/>
              </w:rPr>
              <w:t>MAX(</w:t>
            </w:r>
            <w:proofErr w:type="gramEnd"/>
            <w:r w:rsidRPr="00301219">
              <w:rPr>
                <w:rFonts w:ascii="Times New Roman" w:hAnsi="Times New Roman"/>
                <w:sz w:val="24"/>
                <w:lang w:val="en-IE"/>
              </w:rPr>
              <w:t>TO-FEI, 0)).</w:t>
            </w:r>
          </w:p>
        </w:tc>
      </w:tr>
      <w:tr w:rsidR="00B47B7D" w:rsidRPr="00301219" w14:paraId="1DDC80BD" w14:textId="77777777" w:rsidTr="00454544">
        <w:tc>
          <w:tcPr>
            <w:tcW w:w="1099" w:type="dxa"/>
            <w:shd w:val="clear" w:color="auto" w:fill="FFFFFF"/>
            <w:vAlign w:val="center"/>
          </w:tcPr>
          <w:p w14:paraId="39130CE0" w14:textId="70F43B6D" w:rsidR="00881B4D" w:rsidRPr="000B6B22" w:rsidRDefault="00DF552C" w:rsidP="009D4EFF">
            <w:pPr>
              <w:spacing w:before="0"/>
              <w:rPr>
                <w:rFonts w:ascii="Times New Roman" w:hAnsi="Times New Roman"/>
                <w:sz w:val="24"/>
              </w:rPr>
            </w:pPr>
            <w:r>
              <w:rPr>
                <w:rFonts w:ascii="Times New Roman" w:hAnsi="Times New Roman"/>
                <w:sz w:val="24"/>
              </w:rPr>
              <w:t>0360</w:t>
            </w:r>
          </w:p>
        </w:tc>
        <w:tc>
          <w:tcPr>
            <w:tcW w:w="7379" w:type="dxa"/>
            <w:gridSpan w:val="2"/>
            <w:shd w:val="clear" w:color="auto" w:fill="FFFFFF"/>
            <w:vAlign w:val="center"/>
          </w:tcPr>
          <w:p w14:paraId="2AE1CA5D" w14:textId="4B501D42" w:rsidR="00881B4D" w:rsidRPr="000B6B22" w:rsidRDefault="00881B4D" w:rsidP="009D4EFF">
            <w:pPr>
              <w:spacing w:before="0"/>
              <w:rPr>
                <w:rFonts w:ascii="Times New Roman" w:hAnsi="Times New Roman"/>
                <w:b/>
                <w:bCs/>
                <w:sz w:val="24"/>
              </w:rPr>
            </w:pPr>
            <w:r>
              <w:rPr>
                <w:rFonts w:ascii="Times New Roman" w:hAnsi="Times New Roman"/>
                <w:b/>
                <w:sz w:val="24"/>
              </w:rPr>
              <w:t>30. Μείωση για τις εισροές που υπόκεινται σε ανώτατο όριο 75 %</w:t>
            </w:r>
          </w:p>
          <w:p w14:paraId="7DC3F176" w14:textId="14C13DFC" w:rsidR="00881B4D" w:rsidRPr="000B6B22" w:rsidRDefault="0095691D" w:rsidP="009D4EFF">
            <w:pPr>
              <w:spacing w:before="0"/>
              <w:rPr>
                <w:rFonts w:ascii="Times New Roman" w:hAnsi="Times New Roman"/>
                <w:bCs/>
                <w:sz w:val="24"/>
              </w:rPr>
            </w:pPr>
            <w:r>
              <w:rPr>
                <w:rFonts w:ascii="Times New Roman" w:hAnsi="Times New Roman"/>
                <w:sz w:val="24"/>
              </w:rPr>
              <w:t>Τα ιδρύματα αναφέρουν τα ακόλουθα μέρη του υπολογισμού NLO:</w:t>
            </w:r>
          </w:p>
          <w:p w14:paraId="3A926940" w14:textId="5473B8F9" w:rsidR="00881B4D" w:rsidRPr="00301219" w:rsidRDefault="00881B4D" w:rsidP="009D4EFF">
            <w:pPr>
              <w:spacing w:before="0"/>
              <w:rPr>
                <w:rFonts w:ascii="Times New Roman" w:hAnsi="Times New Roman"/>
                <w:b/>
                <w:bCs/>
                <w:sz w:val="24"/>
                <w:lang w:val="en-IE"/>
              </w:rPr>
            </w:pPr>
            <w:r w:rsidRPr="00301219">
              <w:rPr>
                <w:rFonts w:ascii="Times New Roman" w:hAnsi="Times New Roman"/>
                <w:sz w:val="24"/>
                <w:lang w:val="en-IE"/>
              </w:rPr>
              <w:t>= MIN (IC, 0,75*</w:t>
            </w:r>
            <w:proofErr w:type="gramStart"/>
            <w:r w:rsidRPr="00301219">
              <w:rPr>
                <w:rFonts w:ascii="Times New Roman" w:hAnsi="Times New Roman"/>
                <w:sz w:val="24"/>
                <w:lang w:val="en-IE"/>
              </w:rPr>
              <w:t>MAX(</w:t>
            </w:r>
            <w:proofErr w:type="gramEnd"/>
            <w:r w:rsidRPr="00301219">
              <w:rPr>
                <w:rFonts w:ascii="Times New Roman" w:hAnsi="Times New Roman"/>
                <w:sz w:val="24"/>
                <w:lang w:val="en-IE"/>
              </w:rPr>
              <w:t>TO-FEI-IHC/0,9, 0)).</w:t>
            </w:r>
          </w:p>
        </w:tc>
      </w:tr>
      <w:tr w:rsidR="00B47B7D" w:rsidRPr="00301219" w14:paraId="2BFBBC82" w14:textId="77777777" w:rsidTr="00454544">
        <w:tc>
          <w:tcPr>
            <w:tcW w:w="1099" w:type="dxa"/>
            <w:tcBorders>
              <w:bottom w:val="single" w:sz="4" w:space="0" w:color="auto"/>
            </w:tcBorders>
            <w:shd w:val="clear" w:color="auto" w:fill="FFFFFF"/>
            <w:vAlign w:val="center"/>
          </w:tcPr>
          <w:p w14:paraId="2F4386E3" w14:textId="0E23AC92" w:rsidR="00881B4D" w:rsidRPr="000B6B22" w:rsidRDefault="00DF552C" w:rsidP="009D4EFF">
            <w:pPr>
              <w:spacing w:before="0"/>
              <w:rPr>
                <w:rFonts w:ascii="Times New Roman" w:hAnsi="Times New Roman"/>
                <w:sz w:val="24"/>
              </w:rPr>
            </w:pPr>
            <w:r>
              <w:rPr>
                <w:rFonts w:ascii="Times New Roman" w:hAnsi="Times New Roman"/>
                <w:sz w:val="24"/>
              </w:rPr>
              <w:t>0370</w:t>
            </w:r>
          </w:p>
        </w:tc>
        <w:tc>
          <w:tcPr>
            <w:tcW w:w="7379" w:type="dxa"/>
            <w:gridSpan w:val="2"/>
            <w:tcBorders>
              <w:bottom w:val="single" w:sz="4" w:space="0" w:color="auto"/>
            </w:tcBorders>
            <w:shd w:val="clear" w:color="auto" w:fill="FFFFFF"/>
            <w:vAlign w:val="center"/>
          </w:tcPr>
          <w:p w14:paraId="4C9A7D18" w14:textId="5B7F4EAF" w:rsidR="00881B4D" w:rsidRPr="000B6B22" w:rsidRDefault="00881B4D" w:rsidP="009D4EFF">
            <w:pPr>
              <w:spacing w:before="0"/>
              <w:rPr>
                <w:rFonts w:ascii="Times New Roman" w:hAnsi="Times New Roman"/>
                <w:b/>
                <w:bCs/>
                <w:sz w:val="24"/>
              </w:rPr>
            </w:pPr>
            <w:r>
              <w:rPr>
                <w:rFonts w:ascii="Times New Roman" w:hAnsi="Times New Roman"/>
                <w:b/>
                <w:sz w:val="24"/>
              </w:rPr>
              <w:t>31. ΚΑΘΑΡΕΣ ΕΚΡΟΕΣ ΡΕΥΣΤΟΤΗΤΑΣ</w:t>
            </w:r>
          </w:p>
          <w:p w14:paraId="571E544F" w14:textId="768C0CC8" w:rsidR="00881B4D" w:rsidRPr="000B6B22" w:rsidRDefault="0095691D" w:rsidP="009D4EFF">
            <w:pPr>
              <w:spacing w:before="0"/>
              <w:rPr>
                <w:rFonts w:ascii="Times New Roman" w:hAnsi="Times New Roman"/>
                <w:sz w:val="24"/>
              </w:rPr>
            </w:pPr>
            <w:r>
              <w:rPr>
                <w:rFonts w:ascii="Times New Roman" w:hAnsi="Times New Roman"/>
                <w:sz w:val="24"/>
              </w:rPr>
              <w:t>Τα ιδρύματα αναφέρουν την καθαρή εκροή ρευστότητας η οποία ισούται με τις συνολικές εκροές από τις οποίες αφαιρούνται η μείωση που αντιστοιχεί στις πλήρως εξαιρούμενες εισροές, η μείωση που αντιστοιχεί στις εισροές που υπόκεινται στο ανώτατο όριο 90 % και η μείωση που αντιστοιχεί στις εισροές που υπόκεινται στο ανώτατο όριο 75 %</w:t>
            </w:r>
          </w:p>
          <w:p w14:paraId="09661336" w14:textId="75D35D2C" w:rsidR="00881B4D" w:rsidRPr="00301219" w:rsidRDefault="00881B4D" w:rsidP="009D4EFF">
            <w:pPr>
              <w:spacing w:before="0"/>
              <w:rPr>
                <w:rFonts w:ascii="Times New Roman" w:hAnsi="Times New Roman"/>
                <w:b/>
                <w:bCs/>
                <w:sz w:val="24"/>
                <w:lang w:val="en-IE"/>
              </w:rPr>
            </w:pPr>
            <w:r w:rsidRPr="00301219">
              <w:rPr>
                <w:rFonts w:ascii="Times New Roman" w:hAnsi="Times New Roman"/>
                <w:sz w:val="24"/>
                <w:lang w:val="en-IE"/>
              </w:rPr>
              <w:t xml:space="preserve">NLO = TO — </w:t>
            </w:r>
            <w:proofErr w:type="gramStart"/>
            <w:r w:rsidRPr="00301219">
              <w:rPr>
                <w:rFonts w:ascii="Times New Roman" w:hAnsi="Times New Roman"/>
                <w:sz w:val="24"/>
                <w:lang w:val="en-IE"/>
              </w:rPr>
              <w:t>MIN(</w:t>
            </w:r>
            <w:proofErr w:type="gramEnd"/>
            <w:r w:rsidRPr="00301219">
              <w:rPr>
                <w:rFonts w:ascii="Times New Roman" w:hAnsi="Times New Roman"/>
                <w:sz w:val="24"/>
                <w:lang w:val="en-IE"/>
              </w:rPr>
              <w:t>FEI, TO) - MIN(IHC, 0,9*MAX(TO-FEI, 0)) - MIN(IC, 0,75*MAX(T0-FEI-IHC/0,9,0))</w:t>
            </w:r>
          </w:p>
        </w:tc>
      </w:tr>
      <w:tr w:rsidR="00B47B7D" w:rsidRPr="000B6B22" w14:paraId="69129884" w14:textId="77777777" w:rsidTr="00454544">
        <w:tc>
          <w:tcPr>
            <w:tcW w:w="8478" w:type="dxa"/>
            <w:gridSpan w:val="3"/>
            <w:shd w:val="pct20" w:color="auto" w:fill="FFFFFF"/>
            <w:vAlign w:val="center"/>
          </w:tcPr>
          <w:p w14:paraId="737BA269" w14:textId="77777777" w:rsidR="00881B4D" w:rsidRPr="000B6B22" w:rsidRDefault="00881B4D">
            <w:pPr>
              <w:spacing w:before="0"/>
              <w:ind w:left="56"/>
              <w:rPr>
                <w:rFonts w:ascii="Times New Roman" w:hAnsi="Times New Roman"/>
                <w:b/>
                <w:bCs/>
                <w:sz w:val="24"/>
              </w:rPr>
            </w:pPr>
            <w:r>
              <w:rPr>
                <w:rFonts w:ascii="Times New Roman" w:hAnsi="Times New Roman"/>
                <w:b/>
                <w:sz w:val="24"/>
              </w:rPr>
              <w:t>Πυλώνας 2</w:t>
            </w:r>
          </w:p>
        </w:tc>
      </w:tr>
      <w:tr w:rsidR="00B47B7D" w:rsidRPr="000B6B22" w14:paraId="266EE0AE" w14:textId="77777777" w:rsidTr="00454544">
        <w:tc>
          <w:tcPr>
            <w:tcW w:w="1099" w:type="dxa"/>
            <w:shd w:val="clear" w:color="auto" w:fill="FFFFFF"/>
            <w:vAlign w:val="center"/>
          </w:tcPr>
          <w:p w14:paraId="09720242" w14:textId="398F7D26" w:rsidR="00881B4D" w:rsidRPr="000B6B22" w:rsidRDefault="00DF552C" w:rsidP="009D4EFF">
            <w:pPr>
              <w:spacing w:before="0"/>
              <w:rPr>
                <w:rFonts w:ascii="Times New Roman" w:hAnsi="Times New Roman"/>
                <w:sz w:val="24"/>
              </w:rPr>
            </w:pPr>
            <w:r>
              <w:rPr>
                <w:rFonts w:ascii="Times New Roman" w:hAnsi="Times New Roman"/>
                <w:sz w:val="24"/>
              </w:rPr>
              <w:t>0380</w:t>
            </w:r>
          </w:p>
        </w:tc>
        <w:tc>
          <w:tcPr>
            <w:tcW w:w="7379" w:type="dxa"/>
            <w:gridSpan w:val="2"/>
            <w:shd w:val="clear" w:color="auto" w:fill="FFFFFF"/>
            <w:vAlign w:val="center"/>
          </w:tcPr>
          <w:p w14:paraId="75CD4C94" w14:textId="3DFA6405" w:rsidR="00881B4D" w:rsidRPr="000B6B22" w:rsidRDefault="00881B4D" w:rsidP="009D4EFF">
            <w:pPr>
              <w:spacing w:before="0"/>
              <w:rPr>
                <w:rFonts w:ascii="Times New Roman" w:hAnsi="Times New Roman"/>
                <w:b/>
                <w:bCs/>
                <w:sz w:val="24"/>
              </w:rPr>
            </w:pPr>
            <w:r>
              <w:rPr>
                <w:rFonts w:ascii="Times New Roman" w:hAnsi="Times New Roman"/>
                <w:b/>
                <w:sz w:val="24"/>
              </w:rPr>
              <w:t>32. ΑΠΑΙΤΗΣΗ ΤΟΥ ΠΥΛΩΝΑ 2</w:t>
            </w:r>
          </w:p>
          <w:p w14:paraId="72D74222" w14:textId="48AA5F63" w:rsidR="00881B4D" w:rsidRPr="000B6B22" w:rsidRDefault="00881B4D">
            <w:pPr>
              <w:spacing w:before="0"/>
              <w:ind w:left="56"/>
              <w:rPr>
                <w:rFonts w:ascii="Times New Roman" w:hAnsi="Times New Roman"/>
                <w:bCs/>
                <w:sz w:val="24"/>
              </w:rPr>
            </w:pPr>
            <w:r>
              <w:rPr>
                <w:rFonts w:ascii="Times New Roman" w:hAnsi="Times New Roman"/>
                <w:sz w:val="24"/>
              </w:rPr>
              <w:t>Άρθρο 105 της ΟΚΑ</w:t>
            </w:r>
          </w:p>
          <w:p w14:paraId="70A9354E" w14:textId="4B1A434A" w:rsidR="00881B4D" w:rsidRPr="000B6B22" w:rsidRDefault="0095691D">
            <w:pPr>
              <w:spacing w:before="0"/>
              <w:ind w:left="56"/>
              <w:rPr>
                <w:rFonts w:ascii="Times New Roman" w:hAnsi="Times New Roman"/>
                <w:bCs/>
                <w:sz w:val="24"/>
              </w:rPr>
            </w:pPr>
            <w:r>
              <w:rPr>
                <w:rFonts w:ascii="Times New Roman" w:hAnsi="Times New Roman"/>
                <w:sz w:val="24"/>
              </w:rPr>
              <w:t>Τα ιδρύματα αναφέρουν την απαίτηση του πυλώνα 2.</w:t>
            </w:r>
          </w:p>
        </w:tc>
      </w:tr>
    </w:tbl>
    <w:p w14:paraId="06AE4A0F" w14:textId="77777777" w:rsidR="00881B4D" w:rsidRPr="000B6B22" w:rsidRDefault="00881B4D">
      <w:pPr>
        <w:spacing w:before="0"/>
        <w:rPr>
          <w:rFonts w:ascii="Times New Roman" w:eastAsia="PMingLiU" w:hAnsi="Times New Roman"/>
          <w:sz w:val="24"/>
        </w:rPr>
      </w:pPr>
    </w:p>
    <w:p w14:paraId="675BC291" w14:textId="6A6503F2" w:rsidR="00881B4D" w:rsidRPr="000B6B22" w:rsidRDefault="00881B4D" w:rsidP="009D4EFF">
      <w:pPr>
        <w:spacing w:before="0"/>
        <w:rPr>
          <w:rFonts w:ascii="Times New Roman" w:hAnsi="Times New Roman"/>
          <w:b/>
          <w:sz w:val="24"/>
        </w:rPr>
      </w:pPr>
      <w:r>
        <w:rPr>
          <w:rFonts w:ascii="Times New Roman" w:hAnsi="Times New Roman"/>
          <w:b/>
          <w:sz w:val="24"/>
        </w:rPr>
        <w:t>ΜΕΡΟΣ 6: ΠΕΡΙΜΕΤΡΟΣ ΕΝΟΠΟΙΗΣΗΣ</w:t>
      </w:r>
    </w:p>
    <w:p w14:paraId="46441974" w14:textId="23F76AC4" w:rsidR="00881B4D" w:rsidRPr="000B6B22" w:rsidRDefault="00881B4D">
      <w:pPr>
        <w:keepNext/>
        <w:spacing w:before="0"/>
        <w:ind w:left="357" w:hanging="357"/>
        <w:outlineLvl w:val="1"/>
        <w:rPr>
          <w:rFonts w:ascii="Times New Roman" w:hAnsi="Times New Roman"/>
          <w:sz w:val="24"/>
        </w:rPr>
      </w:pPr>
      <w:r>
        <w:rPr>
          <w:rFonts w:ascii="Times New Roman" w:hAnsi="Times New Roman"/>
          <w:sz w:val="24"/>
        </w:rPr>
        <w:lastRenderedPageBreak/>
        <w:t>1.</w:t>
      </w:r>
      <w:r>
        <w:tab/>
      </w:r>
      <w:r>
        <w:rPr>
          <w:rFonts w:ascii="Times New Roman" w:hAnsi="Times New Roman"/>
          <w:sz w:val="24"/>
        </w:rPr>
        <w:t>Περίμετρος ενοποίησης</w:t>
      </w:r>
    </w:p>
    <w:p w14:paraId="37D472DC" w14:textId="101D0D89" w:rsidR="003626D1" w:rsidRPr="000B6B22" w:rsidRDefault="003626D1">
      <w:pPr>
        <w:keepNext/>
        <w:spacing w:before="0"/>
        <w:ind w:left="357" w:hanging="357"/>
        <w:outlineLvl w:val="1"/>
        <w:rPr>
          <w:rFonts w:ascii="Times New Roman" w:hAnsi="Times New Roman"/>
          <w:sz w:val="24"/>
        </w:rPr>
      </w:pPr>
      <w:r>
        <w:rPr>
          <w:rFonts w:ascii="Times New Roman" w:hAnsi="Times New Roman"/>
          <w:sz w:val="24"/>
        </w:rPr>
        <w:t>1.1.</w:t>
      </w:r>
      <w:r>
        <w:tab/>
      </w:r>
      <w:r>
        <w:rPr>
          <w:rFonts w:ascii="Times New Roman" w:hAnsi="Times New Roman"/>
          <w:sz w:val="24"/>
        </w:rPr>
        <w:t>Γενικές παρατηρήσεις</w:t>
      </w:r>
    </w:p>
    <w:p w14:paraId="2A1CB21B" w14:textId="2AEED944" w:rsidR="008312F1" w:rsidRPr="000B6B22" w:rsidRDefault="008312F1">
      <w:pPr>
        <w:pStyle w:val="InstructionsText2"/>
        <w:numPr>
          <w:ilvl w:val="0"/>
          <w:numId w:val="104"/>
        </w:numPr>
        <w:spacing w:after="120"/>
        <w:rPr>
          <w:rFonts w:cs="Times New Roman"/>
          <w:sz w:val="24"/>
          <w:szCs w:val="24"/>
        </w:rPr>
      </w:pPr>
      <w:r>
        <w:rPr>
          <w:sz w:val="24"/>
        </w:rPr>
        <w:t>Πρόκειται για υπόδειγμα το οποίο, μόνο για τους σκοπούς του ΔΚΡ σε ενοποιημένο επίπεδο, προσδιορίζει τις οντότητες στις οποίες αναφέρονται οι πληροφορίες που αναφέρονται στα υποδείγματα C 72.00, C 73.00, C 74.00, C 75.01 και C 76.00. Στο παρόν υπόδειγμα προσδιορίζονται όλες οι οντότητες που αποτελούν μέρος της περιμέτρου ενοποίησης του ΔΚΡ σύμφωνα με τα άρθρα 8 και 10, το άρθρο 11 παράγραφοι 3 και 5 του κανονισμού (ΕΕ) αριθ. 575/2013, κατά περίπτωση. Το υπόδειγμα αυτό έχει τόσες γραμμές όσες οντότητες περιλαμβάνονται στην περίμετρο ενοποίησης.</w:t>
      </w:r>
    </w:p>
    <w:p w14:paraId="52F0B902" w14:textId="2811DE45" w:rsidR="00881B4D" w:rsidRPr="000B6B22" w:rsidRDefault="00881B4D">
      <w:pPr>
        <w:keepNext/>
        <w:spacing w:before="0"/>
        <w:ind w:left="357" w:hanging="357"/>
        <w:outlineLvl w:val="1"/>
        <w:rPr>
          <w:rFonts w:ascii="Times New Roman" w:hAnsi="Times New Roman"/>
          <w:sz w:val="24"/>
        </w:rPr>
      </w:pPr>
      <w:r>
        <w:rPr>
          <w:rFonts w:ascii="Times New Roman" w:hAnsi="Times New Roman"/>
          <w:sz w:val="24"/>
        </w:rPr>
        <w:t>1.2</w:t>
      </w:r>
      <w:r>
        <w:tab/>
      </w:r>
      <w:r>
        <w:rPr>
          <w:rFonts w:ascii="Times New Roman" w:hAnsi="Times New Roman"/>
          <w:sz w:val="24"/>
        </w:rPr>
        <w:t>Οδηγίες για συγκεκριμένες στήλες</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9"/>
      </w:tblGrid>
      <w:tr w:rsidR="00B47B7D" w:rsidRPr="000B6B22" w14:paraId="1DFD4DE0" w14:textId="77777777" w:rsidTr="00CB45E9">
        <w:tc>
          <w:tcPr>
            <w:tcW w:w="1099" w:type="dxa"/>
            <w:shd w:val="clear" w:color="auto" w:fill="E6E6E6"/>
            <w:vAlign w:val="center"/>
          </w:tcPr>
          <w:p w14:paraId="77F653EB" w14:textId="77777777" w:rsidR="00881B4D" w:rsidRPr="000B6B22" w:rsidRDefault="00881B4D" w:rsidP="009D4EFF">
            <w:pPr>
              <w:spacing w:before="0"/>
              <w:rPr>
                <w:rFonts w:ascii="Times New Roman" w:hAnsi="Times New Roman"/>
                <w:b/>
                <w:sz w:val="24"/>
              </w:rPr>
            </w:pPr>
            <w:r>
              <w:rPr>
                <w:rFonts w:ascii="Times New Roman" w:hAnsi="Times New Roman"/>
                <w:b/>
                <w:sz w:val="24"/>
              </w:rPr>
              <w:t>Στήλη</w:t>
            </w:r>
          </w:p>
        </w:tc>
        <w:tc>
          <w:tcPr>
            <w:tcW w:w="7379" w:type="dxa"/>
            <w:shd w:val="clear" w:color="auto" w:fill="E6E6E6"/>
            <w:vAlign w:val="center"/>
          </w:tcPr>
          <w:p w14:paraId="3FFE688A" w14:textId="77777777" w:rsidR="00881B4D" w:rsidRPr="000B6B22" w:rsidRDefault="00881B4D" w:rsidP="009D4EFF">
            <w:pPr>
              <w:spacing w:before="0"/>
              <w:rPr>
                <w:rFonts w:ascii="Times New Roman" w:eastAsia="SimSun" w:hAnsi="Times New Roman"/>
                <w:b/>
                <w:sz w:val="24"/>
              </w:rPr>
            </w:pPr>
            <w:r>
              <w:rPr>
                <w:rFonts w:ascii="Times New Roman" w:hAnsi="Times New Roman"/>
                <w:b/>
                <w:sz w:val="24"/>
              </w:rPr>
              <w:t>Νομικά κείμενα αναφοράς και οδηγίες</w:t>
            </w:r>
          </w:p>
        </w:tc>
      </w:tr>
      <w:tr w:rsidR="00B47B7D" w:rsidRPr="000B6B22" w14:paraId="5129130C" w14:textId="77777777" w:rsidTr="00CB45E9">
        <w:tc>
          <w:tcPr>
            <w:tcW w:w="1099" w:type="dxa"/>
            <w:vAlign w:val="center"/>
          </w:tcPr>
          <w:p w14:paraId="640C67F1" w14:textId="28BD77D8" w:rsidR="008312F1" w:rsidRPr="000B6B22" w:rsidRDefault="008312F1" w:rsidP="009D4EFF">
            <w:pPr>
              <w:spacing w:before="0"/>
              <w:rPr>
                <w:rFonts w:ascii="Times New Roman" w:hAnsi="Times New Roman"/>
                <w:sz w:val="24"/>
              </w:rPr>
            </w:pPr>
            <w:r>
              <w:rPr>
                <w:rFonts w:ascii="Times New Roman" w:hAnsi="Times New Roman"/>
                <w:sz w:val="24"/>
              </w:rPr>
              <w:t>0005</w:t>
            </w:r>
          </w:p>
        </w:tc>
        <w:tc>
          <w:tcPr>
            <w:tcW w:w="7379" w:type="dxa"/>
          </w:tcPr>
          <w:p w14:paraId="07AB6BBE" w14:textId="77777777" w:rsidR="008312F1" w:rsidRPr="000B6B22" w:rsidRDefault="008312F1" w:rsidP="009D4EFF">
            <w:pPr>
              <w:spacing w:before="0"/>
              <w:rPr>
                <w:rFonts w:ascii="Times New Roman" w:hAnsi="Times New Roman"/>
                <w:b/>
                <w:bCs/>
                <w:sz w:val="24"/>
              </w:rPr>
            </w:pPr>
            <w:r>
              <w:rPr>
                <w:rFonts w:ascii="Times New Roman" w:hAnsi="Times New Roman"/>
                <w:b/>
                <w:sz w:val="24"/>
              </w:rPr>
              <w:t>Μητρική ή θυγατρική</w:t>
            </w:r>
          </w:p>
          <w:p w14:paraId="00BCA1F3" w14:textId="49943E0E" w:rsidR="008312F1" w:rsidRPr="000B6B22" w:rsidRDefault="008312F1" w:rsidP="009D4EFF">
            <w:pPr>
              <w:spacing w:before="0"/>
              <w:rPr>
                <w:rFonts w:ascii="Times New Roman" w:hAnsi="Times New Roman"/>
                <w:bCs/>
                <w:sz w:val="24"/>
              </w:rPr>
            </w:pPr>
            <w:r>
              <w:rPr>
                <w:rFonts w:ascii="Times New Roman" w:hAnsi="Times New Roman"/>
                <w:sz w:val="24"/>
              </w:rPr>
              <w:t>Η «Μητρική εταιρεία» αναφέρεται στην περίπτωση που η οντότητα στη γραμμή είναι:</w:t>
            </w:r>
          </w:p>
          <w:p w14:paraId="3E1D5F0E" w14:textId="571D8690" w:rsidR="008312F1" w:rsidRPr="0095691D" w:rsidRDefault="008312F1" w:rsidP="009D4EFF">
            <w:pPr>
              <w:pStyle w:val="ListParagraph"/>
              <w:numPr>
                <w:ilvl w:val="0"/>
                <w:numId w:val="47"/>
              </w:numPr>
              <w:spacing w:before="0"/>
              <w:rPr>
                <w:rFonts w:ascii="Times New Roman" w:hAnsi="Times New Roman"/>
                <w:bCs/>
                <w:sz w:val="24"/>
              </w:rPr>
            </w:pPr>
            <w:r>
              <w:rPr>
                <w:rFonts w:ascii="Times New Roman" w:hAnsi="Times New Roman"/>
                <w:sz w:val="24"/>
              </w:rPr>
              <w:t>το μητρικό ίδρυμα εγκατεστημένο στην ΕΕ, η μητρική χρηματοδοτική εταιρεία συμμετοχών εγκατεστημένη στην ΕΕ ή η μητρική μεικτή χρηματοδοτική εταιρεία συμμετοχών εγκατεστημένη στην ΕΕ, όπως προβλέπεται στο άρθρο 11 παράγραφος 3 του κανονισμού (ΕΕ) αριθ. 575/2013·</w:t>
            </w:r>
          </w:p>
          <w:p w14:paraId="7CFC13EC" w14:textId="3E21C00F" w:rsidR="008312F1" w:rsidRPr="0095691D" w:rsidRDefault="008312F1">
            <w:pPr>
              <w:pStyle w:val="ListParagraph"/>
              <w:spacing w:before="0"/>
              <w:rPr>
                <w:rFonts w:ascii="Times New Roman" w:hAnsi="Times New Roman"/>
                <w:bCs/>
                <w:sz w:val="24"/>
              </w:rPr>
            </w:pPr>
            <w:r>
              <w:rPr>
                <w:rFonts w:ascii="Times New Roman" w:hAnsi="Times New Roman"/>
                <w:sz w:val="24"/>
              </w:rPr>
              <w:t>το μητρικό ίδρυμα ή το θυγατρικό ίδρυμα που πρέπει να συμμορφώνεται με τον δείκτη κάλυψης ρευστότητας (ΔΚΡ) σε ενοποιημένη βάση ή σε υποενοποιημένη βάση, αντίστοιχα, στο πλαίσιο μιας αυτόνομης οντότητας διαχείρισης του κινδύνου ρευστότητας σύμφωνα με το άρθρο 8 του κανονισμού (ΕΕ) αριθ. 575/2013·</w:t>
            </w:r>
          </w:p>
          <w:p w14:paraId="105A95C5" w14:textId="1D848059" w:rsidR="008312F1" w:rsidRPr="0095691D" w:rsidRDefault="008312F1" w:rsidP="009D4EFF">
            <w:pPr>
              <w:pStyle w:val="ListParagraph"/>
              <w:numPr>
                <w:ilvl w:val="0"/>
                <w:numId w:val="47"/>
              </w:numPr>
              <w:spacing w:before="0"/>
              <w:rPr>
                <w:rFonts w:ascii="Times New Roman" w:hAnsi="Times New Roman"/>
                <w:bCs/>
                <w:sz w:val="24"/>
              </w:rPr>
            </w:pPr>
            <w:r>
              <w:rPr>
                <w:rFonts w:ascii="Times New Roman" w:hAnsi="Times New Roman"/>
                <w:sz w:val="24"/>
              </w:rPr>
              <w:t>το σχετικό ίδρυμα που υποχρεούται να συμμορφώνεται με τον ΔΚΡ σε υποενοποιημένη βάση, σύμφωνα με το άρθρο 11 παράγραφος 5 του κανονισμού (ΕΕ) αριθ. 575/2013·</w:t>
            </w:r>
          </w:p>
          <w:p w14:paraId="1ED0371F" w14:textId="7F3C8562" w:rsidR="008312F1" w:rsidRPr="0095691D" w:rsidRDefault="008312F1" w:rsidP="009D4EFF">
            <w:pPr>
              <w:pStyle w:val="ListParagraph"/>
              <w:numPr>
                <w:ilvl w:val="0"/>
                <w:numId w:val="47"/>
              </w:numPr>
              <w:spacing w:before="0"/>
              <w:rPr>
                <w:rFonts w:ascii="Times New Roman" w:hAnsi="Times New Roman"/>
                <w:bCs/>
                <w:sz w:val="24"/>
              </w:rPr>
            </w:pPr>
            <w:r>
              <w:rPr>
                <w:rFonts w:ascii="Times New Roman" w:hAnsi="Times New Roman"/>
                <w:sz w:val="24"/>
              </w:rPr>
              <w:t>το κεντρικό ίδρυμα της ΕΕ.</w:t>
            </w:r>
          </w:p>
          <w:p w14:paraId="4AFC6E87" w14:textId="250F088D" w:rsidR="008312F1" w:rsidRPr="000B6B22" w:rsidRDefault="008312F1" w:rsidP="009D4EFF">
            <w:pPr>
              <w:spacing w:before="0"/>
              <w:rPr>
                <w:rFonts w:ascii="Times New Roman" w:hAnsi="Times New Roman"/>
                <w:b/>
                <w:bCs/>
                <w:sz w:val="24"/>
              </w:rPr>
            </w:pPr>
            <w:r>
              <w:rPr>
                <w:rFonts w:ascii="Times New Roman" w:hAnsi="Times New Roman"/>
                <w:sz w:val="24"/>
              </w:rPr>
              <w:t>Η «Θυγατρική» αναφέρεται στις υπόλοιπες γραμμές.</w:t>
            </w:r>
          </w:p>
        </w:tc>
      </w:tr>
      <w:tr w:rsidR="00B47B7D" w:rsidRPr="000B6B22" w14:paraId="6CA2233C" w14:textId="77777777" w:rsidTr="00CB45E9">
        <w:tc>
          <w:tcPr>
            <w:tcW w:w="1099" w:type="dxa"/>
            <w:vAlign w:val="center"/>
          </w:tcPr>
          <w:p w14:paraId="19A158C1" w14:textId="65A6C103" w:rsidR="008312F1" w:rsidRPr="000B6B22" w:rsidRDefault="00DF552C" w:rsidP="009D4EFF">
            <w:pPr>
              <w:spacing w:before="0"/>
              <w:rPr>
                <w:rFonts w:ascii="Times New Roman" w:hAnsi="Times New Roman"/>
                <w:sz w:val="24"/>
              </w:rPr>
            </w:pPr>
            <w:r>
              <w:rPr>
                <w:rFonts w:ascii="Times New Roman" w:hAnsi="Times New Roman"/>
                <w:sz w:val="24"/>
              </w:rPr>
              <w:t>0010</w:t>
            </w:r>
          </w:p>
        </w:tc>
        <w:tc>
          <w:tcPr>
            <w:tcW w:w="7379" w:type="dxa"/>
          </w:tcPr>
          <w:p w14:paraId="5DD69770" w14:textId="6CB82BE1" w:rsidR="008312F1" w:rsidRPr="000B6B22" w:rsidRDefault="008312F1" w:rsidP="009D4EFF">
            <w:pPr>
              <w:spacing w:before="0"/>
              <w:rPr>
                <w:rFonts w:ascii="Times New Roman" w:hAnsi="Times New Roman"/>
                <w:b/>
                <w:bCs/>
                <w:sz w:val="24"/>
              </w:rPr>
            </w:pPr>
            <w:r>
              <w:rPr>
                <w:rFonts w:ascii="Times New Roman" w:hAnsi="Times New Roman"/>
                <w:b/>
                <w:sz w:val="24"/>
              </w:rPr>
              <w:t>Επωνυμία</w:t>
            </w:r>
          </w:p>
          <w:p w14:paraId="50A88925" w14:textId="4CC7E0D0" w:rsidR="008312F1" w:rsidRPr="000B6B22" w:rsidRDefault="008312F1" w:rsidP="009D4EFF">
            <w:pPr>
              <w:spacing w:before="0"/>
              <w:rPr>
                <w:rFonts w:ascii="Times New Roman" w:hAnsi="Times New Roman"/>
                <w:bCs/>
                <w:sz w:val="24"/>
              </w:rPr>
            </w:pPr>
            <w:r>
              <w:rPr>
                <w:rFonts w:ascii="Times New Roman" w:hAnsi="Times New Roman"/>
                <w:sz w:val="24"/>
              </w:rPr>
              <w:t>Η ονομασία κάθε οντότητας στην περίμετρο ενοποίησης αναφέρεται στη στήλη 0010.</w:t>
            </w:r>
          </w:p>
        </w:tc>
      </w:tr>
      <w:tr w:rsidR="00B47B7D" w:rsidRPr="000B6B22" w14:paraId="72787EB5" w14:textId="77777777" w:rsidTr="00CB45E9">
        <w:tc>
          <w:tcPr>
            <w:tcW w:w="1099" w:type="dxa"/>
            <w:vAlign w:val="center"/>
          </w:tcPr>
          <w:p w14:paraId="5263BFA8" w14:textId="11215054" w:rsidR="008312F1" w:rsidRPr="000B6B22" w:rsidRDefault="00DF552C" w:rsidP="009D4EFF">
            <w:pPr>
              <w:spacing w:before="0"/>
              <w:rPr>
                <w:rFonts w:ascii="Times New Roman" w:hAnsi="Times New Roman"/>
                <w:sz w:val="24"/>
              </w:rPr>
            </w:pPr>
            <w:r>
              <w:rPr>
                <w:rFonts w:ascii="Times New Roman" w:hAnsi="Times New Roman"/>
                <w:sz w:val="24"/>
              </w:rPr>
              <w:t>0020</w:t>
            </w:r>
          </w:p>
        </w:tc>
        <w:tc>
          <w:tcPr>
            <w:tcW w:w="7379" w:type="dxa"/>
          </w:tcPr>
          <w:p w14:paraId="165EDA8D" w14:textId="77777777" w:rsidR="008312F1" w:rsidRPr="000B6B22" w:rsidRDefault="008312F1" w:rsidP="009D4EFF">
            <w:pPr>
              <w:spacing w:before="0"/>
              <w:rPr>
                <w:rFonts w:ascii="Times New Roman" w:hAnsi="Times New Roman"/>
                <w:b/>
                <w:bCs/>
                <w:sz w:val="24"/>
              </w:rPr>
            </w:pPr>
            <w:r>
              <w:rPr>
                <w:rFonts w:ascii="Times New Roman" w:hAnsi="Times New Roman"/>
                <w:b/>
                <w:sz w:val="24"/>
              </w:rPr>
              <w:t>Κωδικός</w:t>
            </w:r>
          </w:p>
          <w:p w14:paraId="57BC6B98" w14:textId="2B08725E" w:rsidR="005844EF" w:rsidRPr="000B6B22" w:rsidRDefault="005844EF" w:rsidP="009D4EFF">
            <w:pPr>
              <w:spacing w:before="0"/>
              <w:rPr>
                <w:rFonts w:ascii="Times New Roman" w:hAnsi="Times New Roman"/>
                <w:bCs/>
                <w:sz w:val="24"/>
              </w:rPr>
            </w:pPr>
            <w:r>
              <w:rPr>
                <w:rStyle w:val="FormatvorlageInstructionsTabelleText"/>
                <w:rFonts w:ascii="Times New Roman" w:hAnsi="Times New Roman"/>
                <w:sz w:val="24"/>
              </w:rPr>
              <w:t>Ο κωδικός ως μέρος αναγνωριστικού κωδικού γραμμής πρέπει να είναι μοναδικός για κάθε αναφερόμενη οντότητα. Για τα ιδρύματα και τις ασφαλιστικές επιχειρήσεις ο κωδικός είναι ο αναγνωριστικός κωδικός νομικής οντότητας (LEI). Για άλλες οντότητες, ο κωδικός είναι ο κωδικός LEI ή, εάν δεν υπάρχει, εθνικός κωδικός. Ο κωδικός είναι μοναδικός και χρησιμοποιείται με συνέπεια σε όλα τα υποδείγματα και διαχρονικά. Ο κωδικός έχει πάντοτε μια τιμή.</w:t>
            </w:r>
          </w:p>
        </w:tc>
      </w:tr>
      <w:tr w:rsidR="00B47B7D" w:rsidRPr="000B6B22" w14:paraId="3BCC9C5B" w14:textId="77777777" w:rsidTr="00CB45E9">
        <w:tc>
          <w:tcPr>
            <w:tcW w:w="1099" w:type="dxa"/>
            <w:vAlign w:val="center"/>
          </w:tcPr>
          <w:p w14:paraId="28E612B2" w14:textId="34846876" w:rsidR="003E6559" w:rsidRPr="000B6B22" w:rsidRDefault="00DF552C" w:rsidP="009D4EFF">
            <w:pPr>
              <w:spacing w:before="0"/>
              <w:rPr>
                <w:rFonts w:ascii="Times New Roman" w:hAnsi="Times New Roman"/>
                <w:sz w:val="24"/>
              </w:rPr>
            </w:pPr>
            <w:r>
              <w:rPr>
                <w:rFonts w:ascii="Times New Roman" w:hAnsi="Times New Roman"/>
                <w:sz w:val="24"/>
              </w:rPr>
              <w:t>0021</w:t>
            </w:r>
          </w:p>
        </w:tc>
        <w:tc>
          <w:tcPr>
            <w:tcW w:w="7379" w:type="dxa"/>
          </w:tcPr>
          <w:p w14:paraId="6F84E3CD" w14:textId="02B7C4D5" w:rsidR="003E6559" w:rsidRPr="000B6B22" w:rsidRDefault="003E6559" w:rsidP="009D4EFF">
            <w:pPr>
              <w:spacing w:before="0"/>
              <w:rPr>
                <w:rFonts w:ascii="Times New Roman" w:hAnsi="Times New Roman"/>
                <w:b/>
                <w:bCs/>
                <w:sz w:val="24"/>
              </w:rPr>
            </w:pPr>
            <w:r>
              <w:rPr>
                <w:rFonts w:ascii="Times New Roman" w:hAnsi="Times New Roman"/>
                <w:b/>
                <w:sz w:val="24"/>
              </w:rPr>
              <w:t>Είδος κωδικού</w:t>
            </w:r>
          </w:p>
          <w:p w14:paraId="752578EA" w14:textId="77777777" w:rsidR="007F35AD" w:rsidRPr="000B6B22" w:rsidRDefault="003E6559" w:rsidP="009D4EFF">
            <w:pPr>
              <w:spacing w:before="0"/>
              <w:rPr>
                <w:rFonts w:ascii="Times New Roman" w:hAnsi="Times New Roman"/>
                <w:bCs/>
                <w:sz w:val="24"/>
              </w:rPr>
            </w:pPr>
            <w:r>
              <w:rPr>
                <w:rFonts w:ascii="Times New Roman" w:hAnsi="Times New Roman"/>
                <w:sz w:val="24"/>
              </w:rPr>
              <w:lastRenderedPageBreak/>
              <w:t>Τα ιδρύματα προσδιορίζουν το είδος του κωδικού που αναφέρεται στη στήλη 0020 ως «Κωδικό LEI» ή «Κωδικό μη LEI».</w:t>
            </w:r>
          </w:p>
          <w:p w14:paraId="1D680D22" w14:textId="5F06E1D7" w:rsidR="007F35AD" w:rsidRPr="000B6B22" w:rsidRDefault="007F35AD" w:rsidP="009D4EFF">
            <w:pPr>
              <w:spacing w:before="0"/>
              <w:rPr>
                <w:rFonts w:ascii="Times New Roman" w:hAnsi="Times New Roman"/>
                <w:bCs/>
                <w:sz w:val="24"/>
              </w:rPr>
            </w:pPr>
            <w:r>
              <w:rPr>
                <w:rFonts w:ascii="Times New Roman" w:hAnsi="Times New Roman"/>
                <w:sz w:val="24"/>
              </w:rPr>
              <w:t>Το είδος του κωδικού αναφέρεται πάντοτε.</w:t>
            </w:r>
          </w:p>
        </w:tc>
      </w:tr>
      <w:tr w:rsidR="00B47B7D" w:rsidRPr="000B6B22" w14:paraId="0B69B16C" w14:textId="77777777" w:rsidTr="00CB45E9">
        <w:tc>
          <w:tcPr>
            <w:tcW w:w="1099" w:type="dxa"/>
            <w:vAlign w:val="center"/>
          </w:tcPr>
          <w:p w14:paraId="3AF64BA1" w14:textId="24B4563B" w:rsidR="003E6559" w:rsidRPr="000B6B22" w:rsidRDefault="00DF552C" w:rsidP="009D4EFF">
            <w:pPr>
              <w:spacing w:before="0"/>
              <w:rPr>
                <w:rFonts w:ascii="Times New Roman" w:hAnsi="Times New Roman"/>
                <w:sz w:val="24"/>
              </w:rPr>
            </w:pPr>
            <w:r>
              <w:rPr>
                <w:rFonts w:ascii="Times New Roman" w:hAnsi="Times New Roman"/>
                <w:sz w:val="24"/>
              </w:rPr>
              <w:lastRenderedPageBreak/>
              <w:t>0022</w:t>
            </w:r>
          </w:p>
        </w:tc>
        <w:tc>
          <w:tcPr>
            <w:tcW w:w="7379" w:type="dxa"/>
          </w:tcPr>
          <w:p w14:paraId="5EC930F9" w14:textId="2612D35F" w:rsidR="003E6559" w:rsidRPr="000B6B22" w:rsidRDefault="003E6559" w:rsidP="009D4EFF">
            <w:pPr>
              <w:spacing w:before="0"/>
              <w:rPr>
                <w:rFonts w:ascii="Times New Roman" w:hAnsi="Times New Roman"/>
                <w:bCs/>
                <w:sz w:val="24"/>
              </w:rPr>
            </w:pPr>
            <w:r>
              <w:rPr>
                <w:rFonts w:ascii="Times New Roman" w:hAnsi="Times New Roman"/>
                <w:b/>
                <w:sz w:val="24"/>
              </w:rPr>
              <w:t>Εθνικός κωδικός</w:t>
            </w:r>
          </w:p>
          <w:p w14:paraId="15C04026" w14:textId="3B439AF6" w:rsidR="003E6559" w:rsidRPr="000B6B22" w:rsidRDefault="003E6559" w:rsidP="009D4EFF">
            <w:pPr>
              <w:spacing w:before="0"/>
              <w:rPr>
                <w:rFonts w:ascii="Times New Roman" w:hAnsi="Times New Roman"/>
                <w:b/>
                <w:bCs/>
                <w:sz w:val="24"/>
              </w:rPr>
            </w:pPr>
            <w:r>
              <w:rPr>
                <w:rStyle w:val="InstructionsTabelleberschrift"/>
                <w:rFonts w:ascii="Times New Roman" w:hAnsi="Times New Roman"/>
                <w:b w:val="0"/>
                <w:sz w:val="24"/>
                <w:u w:val="none"/>
              </w:rPr>
              <w:t>Τα ιδρύματα μπορούν επιπλέον να αναφέρουν τον εθνικό κωδικό όταν αναφέρουν τον κωδικό LEI ως αναγνωριστικό στη στήλη «Κωδικός».</w:t>
            </w:r>
          </w:p>
        </w:tc>
      </w:tr>
      <w:tr w:rsidR="00B47B7D" w:rsidRPr="000B6B22" w14:paraId="7085CD9E" w14:textId="77777777" w:rsidTr="00CB45E9">
        <w:tc>
          <w:tcPr>
            <w:tcW w:w="1099" w:type="dxa"/>
            <w:vAlign w:val="center"/>
          </w:tcPr>
          <w:p w14:paraId="6A885E9D" w14:textId="442F27A8" w:rsidR="003E6559" w:rsidRPr="000B6B22" w:rsidRDefault="00DF552C" w:rsidP="009D4EFF">
            <w:pPr>
              <w:spacing w:before="0"/>
              <w:rPr>
                <w:rFonts w:ascii="Times New Roman" w:hAnsi="Times New Roman"/>
                <w:sz w:val="24"/>
              </w:rPr>
            </w:pPr>
            <w:r>
              <w:rPr>
                <w:rFonts w:ascii="Times New Roman" w:hAnsi="Times New Roman"/>
                <w:sz w:val="24"/>
              </w:rPr>
              <w:t>0040</w:t>
            </w:r>
          </w:p>
        </w:tc>
        <w:tc>
          <w:tcPr>
            <w:tcW w:w="7379" w:type="dxa"/>
          </w:tcPr>
          <w:p w14:paraId="55110F08" w14:textId="2B9C92BB" w:rsidR="003E6559" w:rsidRPr="000B6B22" w:rsidRDefault="003E6559" w:rsidP="009D4EFF">
            <w:pPr>
              <w:spacing w:before="0"/>
              <w:rPr>
                <w:rFonts w:ascii="Times New Roman" w:hAnsi="Times New Roman"/>
                <w:b/>
                <w:bCs/>
                <w:sz w:val="24"/>
              </w:rPr>
            </w:pPr>
            <w:r>
              <w:rPr>
                <w:rFonts w:ascii="Times New Roman" w:hAnsi="Times New Roman"/>
                <w:b/>
                <w:sz w:val="24"/>
              </w:rPr>
              <w:t>Κωδικός χώρας</w:t>
            </w:r>
          </w:p>
          <w:p w14:paraId="1CBF434E" w14:textId="49C8714A" w:rsidR="003E6559" w:rsidRPr="000B6B22" w:rsidRDefault="003E6559" w:rsidP="009D4EFF">
            <w:pPr>
              <w:spacing w:before="0"/>
              <w:rPr>
                <w:rFonts w:ascii="Times New Roman" w:hAnsi="Times New Roman"/>
                <w:b/>
                <w:bCs/>
                <w:sz w:val="24"/>
              </w:rPr>
            </w:pPr>
            <w:r>
              <w:rPr>
                <w:rFonts w:ascii="Times New Roman" w:hAnsi="Times New Roman"/>
                <w:sz w:val="24"/>
              </w:rPr>
              <w:t>Ο κωδικός ISO 3166-1-alpha-2 της χώρας σύστασης κάθε οντότητας στην περίμετρο ενοποίησης αναφέρεται στη στήλη 0020.</w:t>
            </w:r>
          </w:p>
        </w:tc>
      </w:tr>
      <w:tr w:rsidR="003E6559" w:rsidRPr="000B6B22" w14:paraId="76C45C0F" w14:textId="77777777" w:rsidTr="00CB45E9">
        <w:tc>
          <w:tcPr>
            <w:tcW w:w="1099" w:type="dxa"/>
            <w:vAlign w:val="center"/>
          </w:tcPr>
          <w:p w14:paraId="582E0EC6" w14:textId="0E53573C" w:rsidR="003E6559" w:rsidRPr="000B6B22" w:rsidRDefault="00DF552C" w:rsidP="009D4EFF">
            <w:pPr>
              <w:spacing w:before="0"/>
              <w:rPr>
                <w:rFonts w:ascii="Times New Roman" w:hAnsi="Times New Roman"/>
                <w:sz w:val="24"/>
              </w:rPr>
            </w:pPr>
            <w:r>
              <w:rPr>
                <w:rFonts w:ascii="Times New Roman" w:hAnsi="Times New Roman"/>
                <w:sz w:val="24"/>
              </w:rPr>
              <w:t>0050</w:t>
            </w:r>
          </w:p>
        </w:tc>
        <w:tc>
          <w:tcPr>
            <w:tcW w:w="7379" w:type="dxa"/>
          </w:tcPr>
          <w:p w14:paraId="7801E46D" w14:textId="29AEF4CF" w:rsidR="003E6559" w:rsidRPr="000B6B22" w:rsidRDefault="003E6559" w:rsidP="009D4EFF">
            <w:pPr>
              <w:spacing w:before="0"/>
              <w:rPr>
                <w:rFonts w:ascii="Times New Roman" w:hAnsi="Times New Roman"/>
                <w:b/>
                <w:bCs/>
                <w:sz w:val="24"/>
              </w:rPr>
            </w:pPr>
            <w:r>
              <w:rPr>
                <w:rFonts w:ascii="Times New Roman" w:hAnsi="Times New Roman"/>
                <w:b/>
                <w:sz w:val="24"/>
              </w:rPr>
              <w:t>Είδος οντότητας</w:t>
            </w:r>
          </w:p>
          <w:p w14:paraId="074A915E" w14:textId="37F26345" w:rsidR="003E6559" w:rsidRPr="000B6B22" w:rsidRDefault="003E6559" w:rsidP="009D4EFF">
            <w:pPr>
              <w:spacing w:before="0"/>
              <w:rPr>
                <w:rFonts w:ascii="Times New Roman" w:hAnsi="Times New Roman"/>
                <w:bCs/>
                <w:sz w:val="24"/>
              </w:rPr>
            </w:pPr>
            <w:r>
              <w:rPr>
                <w:rFonts w:ascii="Times New Roman" w:hAnsi="Times New Roman"/>
                <w:sz w:val="24"/>
              </w:rPr>
              <w:t>Στις οντότητες που αναφέρονται στη στήλη 0010 αποδίδεται ένα είδος οντότητας που αντιστοιχεί στη νομική μορφή τους, σύμφωνα με τον ακόλουθο κατάλογο:</w:t>
            </w:r>
          </w:p>
          <w:p w14:paraId="52B764A4" w14:textId="32D73DAD" w:rsidR="003E6559" w:rsidRPr="000B6B22" w:rsidRDefault="003E6559" w:rsidP="009D4EFF">
            <w:pPr>
              <w:spacing w:before="0"/>
              <w:rPr>
                <w:rFonts w:ascii="Times New Roman" w:hAnsi="Times New Roman"/>
                <w:bCs/>
                <w:sz w:val="24"/>
              </w:rPr>
            </w:pPr>
            <w:r>
              <w:rPr>
                <w:rFonts w:ascii="Times New Roman" w:hAnsi="Times New Roman"/>
                <w:sz w:val="24"/>
              </w:rPr>
              <w:t>«Πιστωτικό ίδρυμα»·</w:t>
            </w:r>
          </w:p>
          <w:p w14:paraId="609CC8D5" w14:textId="2A41B3D7" w:rsidR="003E6559" w:rsidRPr="000B6B22" w:rsidRDefault="003E6559" w:rsidP="009D4EFF">
            <w:pPr>
              <w:spacing w:before="0"/>
              <w:rPr>
                <w:rFonts w:ascii="Times New Roman" w:hAnsi="Times New Roman"/>
                <w:bCs/>
                <w:sz w:val="24"/>
              </w:rPr>
            </w:pPr>
            <w:r>
              <w:rPr>
                <w:rFonts w:ascii="Times New Roman" w:hAnsi="Times New Roman"/>
                <w:sz w:val="24"/>
              </w:rPr>
              <w:t>«Επιχείρηση επενδύσεων»·</w:t>
            </w:r>
          </w:p>
          <w:p w14:paraId="79D18ABD" w14:textId="44715845" w:rsidR="003E6559" w:rsidRPr="000B6B22" w:rsidRDefault="003E6559" w:rsidP="009D4EFF">
            <w:pPr>
              <w:spacing w:before="0"/>
              <w:rPr>
                <w:rFonts w:ascii="Times New Roman" w:hAnsi="Times New Roman"/>
                <w:b/>
                <w:bCs/>
                <w:sz w:val="24"/>
              </w:rPr>
            </w:pPr>
            <w:r>
              <w:rPr>
                <w:rFonts w:ascii="Times New Roman" w:hAnsi="Times New Roman"/>
                <w:sz w:val="24"/>
              </w:rPr>
              <w:t>«Άλλο».</w:t>
            </w:r>
          </w:p>
        </w:tc>
      </w:tr>
    </w:tbl>
    <w:p w14:paraId="58A600EE" w14:textId="77777777" w:rsidR="00522789" w:rsidRPr="000B6B22" w:rsidRDefault="00522789">
      <w:pPr>
        <w:spacing w:before="0"/>
        <w:rPr>
          <w:rFonts w:ascii="Times New Roman" w:hAnsi="Times New Roman"/>
          <w:sz w:val="24"/>
        </w:rPr>
      </w:pPr>
    </w:p>
    <w:sectPr w:rsidR="00522789" w:rsidRPr="000B6B22" w:rsidSect="00735E44">
      <w:footerReference w:type="default" r:id="rId8"/>
      <w:pgSz w:w="11906" w:h="16838"/>
      <w:pgMar w:top="1440" w:right="1800" w:bottom="1258" w:left="180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C28471" w14:textId="77777777" w:rsidR="00787E23" w:rsidRDefault="00787E23" w:rsidP="0011588D">
      <w:pPr>
        <w:spacing w:before="0" w:after="0"/>
      </w:pPr>
      <w:r>
        <w:separator/>
      </w:r>
    </w:p>
  </w:endnote>
  <w:endnote w:type="continuationSeparator" w:id="0">
    <w:p w14:paraId="72146396" w14:textId="77777777" w:rsidR="00787E23" w:rsidRDefault="00787E23" w:rsidP="0011588D">
      <w:pPr>
        <w:spacing w:before="0" w:after="0"/>
      </w:pPr>
      <w:r>
        <w:continuationSeparator/>
      </w:r>
    </w:p>
  </w:endnote>
  <w:endnote w:type="continuationNotice" w:id="1">
    <w:p w14:paraId="37C5B492" w14:textId="77777777" w:rsidR="00787E23" w:rsidRDefault="00787E2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rPr>
      <w:id w:val="-774943695"/>
      <w:docPartObj>
        <w:docPartGallery w:val="Page Numbers (Bottom of Page)"/>
        <w:docPartUnique/>
      </w:docPartObj>
    </w:sdtPr>
    <w:sdtEndPr>
      <w:rPr>
        <w:noProof/>
        <w:sz w:val="24"/>
      </w:rPr>
    </w:sdtEndPr>
    <w:sdtContent>
      <w:p w14:paraId="2553A316" w14:textId="1AEC7E5C" w:rsidR="00787E23" w:rsidRPr="000B6B22" w:rsidRDefault="00787E23">
        <w:pPr>
          <w:pStyle w:val="Footer"/>
          <w:jc w:val="right"/>
          <w:rPr>
            <w:rFonts w:ascii="Times New Roman" w:hAnsi="Times New Roman"/>
            <w:sz w:val="24"/>
          </w:rPr>
        </w:pPr>
        <w:r>
          <w:rPr>
            <w:rFonts w:ascii="Times New Roman" w:hAnsi="Times New Roman"/>
            <w:sz w:val="24"/>
          </w:rPr>
          <w:fldChar w:fldCharType="begin"/>
        </w:r>
        <w:r>
          <w:rPr>
            <w:rFonts w:ascii="Times New Roman" w:hAnsi="Times New Roman"/>
            <w:sz w:val="24"/>
          </w:rPr>
          <w:instrText xml:space="preserve"> PAGE   \* MERGEFORMAT </w:instrText>
        </w:r>
        <w:r>
          <w:rPr>
            <w:rFonts w:ascii="Times New Roman" w:hAnsi="Times New Roman"/>
            <w:sz w:val="24"/>
          </w:rPr>
          <w:fldChar w:fldCharType="separate"/>
        </w:r>
        <w:r>
          <w:rPr>
            <w:rFonts w:ascii="Times New Roman" w:hAnsi="Times New Roman"/>
            <w:sz w:val="24"/>
          </w:rPr>
          <w:t>13</w:t>
        </w:r>
        <w:r>
          <w:rPr>
            <w:rFonts w:ascii="Times New Roman" w:hAnsi="Times New Roman"/>
            <w:sz w:val="24"/>
          </w:rPr>
          <w:t>7</w:t>
        </w:r>
        <w:r>
          <w:rPr>
            <w:rFonts w:ascii="Times New Roman" w:hAnsi="Times New Roman"/>
            <w:sz w:val="24"/>
          </w:rPr>
          <w:fldChar w:fldCharType="end"/>
        </w:r>
      </w:p>
    </w:sdtContent>
  </w:sdt>
  <w:p w14:paraId="6E88F8A8" w14:textId="418EFB83" w:rsidR="00787E23" w:rsidRPr="0040759C" w:rsidRDefault="00787E23" w:rsidP="0040759C">
    <w:pPr>
      <w:pStyle w:val="Footer"/>
      <w:tabs>
        <w:tab w:val="clear" w:pos="4513"/>
        <w:tab w:val="clear" w:pos="9026"/>
        <w:tab w:val="right" w:pos="9071"/>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C1F48E" w14:textId="77777777" w:rsidR="00787E23" w:rsidRDefault="00787E23" w:rsidP="0011588D">
      <w:pPr>
        <w:spacing w:before="0" w:after="0"/>
      </w:pPr>
      <w:r>
        <w:separator/>
      </w:r>
    </w:p>
  </w:footnote>
  <w:footnote w:type="continuationSeparator" w:id="0">
    <w:p w14:paraId="07EC6038" w14:textId="77777777" w:rsidR="00787E23" w:rsidRDefault="00787E23" w:rsidP="0011588D">
      <w:pPr>
        <w:spacing w:before="0" w:after="0"/>
      </w:pPr>
      <w:r>
        <w:continuationSeparator/>
      </w:r>
    </w:p>
  </w:footnote>
  <w:footnote w:type="continuationNotice" w:id="1">
    <w:p w14:paraId="700F0A6C" w14:textId="77777777" w:rsidR="00787E23" w:rsidRDefault="00787E23">
      <w:pPr>
        <w:spacing w:before="0" w:after="0"/>
      </w:pPr>
    </w:p>
  </w:footnote>
  <w:footnote w:id="2">
    <w:p w14:paraId="3A44C59A" w14:textId="68D71F23" w:rsidR="00787E23" w:rsidRPr="00312695" w:rsidRDefault="00787E23" w:rsidP="0070035D">
      <w:pPr>
        <w:pStyle w:val="FootnoteText"/>
        <w:ind w:left="567" w:hanging="567"/>
        <w:rPr>
          <w:rFonts w:ascii="Times New Roman" w:hAnsi="Times New Roman"/>
        </w:rPr>
      </w:pPr>
      <w:r>
        <w:rPr>
          <w:rStyle w:val="FootnoteReference"/>
          <w:rFonts w:ascii="Times New Roman" w:hAnsi="Times New Roman"/>
          <w:sz w:val="16"/>
          <w:szCs w:val="16"/>
        </w:rPr>
        <w:footnoteRef/>
      </w:r>
      <w:r>
        <w:rPr>
          <w:rFonts w:ascii="Times New Roman" w:hAnsi="Times New Roman"/>
        </w:rPr>
        <w:t xml:space="preserve"> </w:t>
      </w:r>
      <w:r>
        <w:tab/>
      </w:r>
      <w:r>
        <w:rPr>
          <w:rFonts w:ascii="Times New Roman" w:hAnsi="Times New Roman"/>
          <w:color w:val="444444"/>
        </w:rPr>
        <w:t>Κατ’ εξουσιοδότηση κανονισμός (ΕΕ) 2015/61 της Επιτροπής, της 10ης Οκτωβρίου 2014, για τη συμπλήρωση του κανονισμού (ΕΕ) αριθ. 575/2013 του Ευρωπαϊκού Κοινοβουλίου και του Συμβουλίου όσον αφορά την απαίτηση κάλυψης του κινδύνου ρευστότητας για τα πιστωτικά ιδρύματα (ΕΕ L 11 της 17.1.2015, σ. 1).</w:t>
      </w:r>
    </w:p>
  </w:footnote>
  <w:footnote w:id="3">
    <w:p w14:paraId="7D63DB58" w14:textId="1FD27016" w:rsidR="00787E23" w:rsidRPr="00D63CF5" w:rsidRDefault="00787E23" w:rsidP="00E145E1">
      <w:pPr>
        <w:pStyle w:val="FootnoteText"/>
        <w:rPr>
          <w:rFonts w:ascii="Times New Roman" w:hAnsi="Times New Roman"/>
        </w:rPr>
      </w:pPr>
      <w:r>
        <w:rPr>
          <w:rStyle w:val="FootnoteReference"/>
          <w:rFonts w:ascii="Times New Roman" w:hAnsi="Times New Roman"/>
          <w:sz w:val="16"/>
          <w:szCs w:val="16"/>
        </w:rPr>
        <w:footnoteRef/>
      </w:r>
      <w:r>
        <w:rPr>
          <w:rFonts w:ascii="Times New Roman" w:hAnsi="Times New Roman"/>
        </w:rPr>
        <w:t xml:space="preserve"> </w:t>
      </w:r>
      <w:r>
        <w:rPr>
          <w:rFonts w:ascii="Times New Roman" w:hAnsi="Times New Roman"/>
        </w:rPr>
        <w:t>Οι πράξεις ανταλλαγής εξασφαλίσεων πρέπει να αναφέρονται επιπλέον και στο υπόδειγμα C 75.01 του παραρτήματος XXIV.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BEAAFA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0">
    <w:nsid w:val="00C93E94"/>
    <w:multiLevelType w:val="hybridMultilevel"/>
    <w:tmpl w:val="AA448040"/>
    <w:lvl w:ilvl="0" w:tplc="04070005">
      <w:start w:val="1"/>
      <w:numFmt w:val="bullet"/>
      <w:lvlText w:val=""/>
      <w:lvlJc w:val="left"/>
      <w:pPr>
        <w:ind w:left="754" w:hanging="360"/>
      </w:pPr>
      <w:rPr>
        <w:rFonts w:ascii="Wingdings" w:hAnsi="Wingdings" w:hint="default"/>
      </w:rPr>
    </w:lvl>
    <w:lvl w:ilvl="1" w:tplc="04070003">
      <w:start w:val="1"/>
      <w:numFmt w:val="bullet"/>
      <w:lvlText w:val="o"/>
      <w:lvlJc w:val="left"/>
      <w:pPr>
        <w:ind w:left="1474" w:hanging="360"/>
      </w:pPr>
      <w:rPr>
        <w:rFonts w:ascii="Courier New" w:hAnsi="Courier New" w:cs="Courier New" w:hint="default"/>
      </w:rPr>
    </w:lvl>
    <w:lvl w:ilvl="2" w:tplc="04070005" w:tentative="1">
      <w:start w:val="1"/>
      <w:numFmt w:val="bullet"/>
      <w:lvlText w:val=""/>
      <w:lvlJc w:val="left"/>
      <w:pPr>
        <w:ind w:left="2194" w:hanging="360"/>
      </w:pPr>
      <w:rPr>
        <w:rFonts w:ascii="Wingdings" w:hAnsi="Wingdings" w:hint="default"/>
      </w:rPr>
    </w:lvl>
    <w:lvl w:ilvl="3" w:tplc="04070001" w:tentative="1">
      <w:start w:val="1"/>
      <w:numFmt w:val="bullet"/>
      <w:lvlText w:val=""/>
      <w:lvlJc w:val="left"/>
      <w:pPr>
        <w:ind w:left="2914" w:hanging="360"/>
      </w:pPr>
      <w:rPr>
        <w:rFonts w:ascii="Symbol" w:hAnsi="Symbol" w:hint="default"/>
      </w:rPr>
    </w:lvl>
    <w:lvl w:ilvl="4" w:tplc="04070003" w:tentative="1">
      <w:start w:val="1"/>
      <w:numFmt w:val="bullet"/>
      <w:lvlText w:val="o"/>
      <w:lvlJc w:val="left"/>
      <w:pPr>
        <w:ind w:left="3634" w:hanging="360"/>
      </w:pPr>
      <w:rPr>
        <w:rFonts w:ascii="Courier New" w:hAnsi="Courier New" w:cs="Courier New" w:hint="default"/>
      </w:rPr>
    </w:lvl>
    <w:lvl w:ilvl="5" w:tplc="04070005" w:tentative="1">
      <w:start w:val="1"/>
      <w:numFmt w:val="bullet"/>
      <w:lvlText w:val=""/>
      <w:lvlJc w:val="left"/>
      <w:pPr>
        <w:ind w:left="4354" w:hanging="360"/>
      </w:pPr>
      <w:rPr>
        <w:rFonts w:ascii="Wingdings" w:hAnsi="Wingdings" w:hint="default"/>
      </w:rPr>
    </w:lvl>
    <w:lvl w:ilvl="6" w:tplc="04070001" w:tentative="1">
      <w:start w:val="1"/>
      <w:numFmt w:val="bullet"/>
      <w:lvlText w:val=""/>
      <w:lvlJc w:val="left"/>
      <w:pPr>
        <w:ind w:left="5074" w:hanging="360"/>
      </w:pPr>
      <w:rPr>
        <w:rFonts w:ascii="Symbol" w:hAnsi="Symbol" w:hint="default"/>
      </w:rPr>
    </w:lvl>
    <w:lvl w:ilvl="7" w:tplc="04070003" w:tentative="1">
      <w:start w:val="1"/>
      <w:numFmt w:val="bullet"/>
      <w:lvlText w:val="o"/>
      <w:lvlJc w:val="left"/>
      <w:pPr>
        <w:ind w:left="5794" w:hanging="360"/>
      </w:pPr>
      <w:rPr>
        <w:rFonts w:ascii="Courier New" w:hAnsi="Courier New" w:cs="Courier New" w:hint="default"/>
      </w:rPr>
    </w:lvl>
    <w:lvl w:ilvl="8" w:tplc="04070005" w:tentative="1">
      <w:start w:val="1"/>
      <w:numFmt w:val="bullet"/>
      <w:lvlText w:val=""/>
      <w:lvlJc w:val="left"/>
      <w:pPr>
        <w:ind w:left="6514" w:hanging="360"/>
      </w:pPr>
      <w:rPr>
        <w:rFonts w:ascii="Wingdings" w:hAnsi="Wingdings" w:hint="default"/>
      </w:rPr>
    </w:lvl>
  </w:abstractNum>
  <w:abstractNum w:abstractNumId="2" w15:restartNumberingAfterBreak="0">
    <w:nsid w:val="02DD0A39"/>
    <w:multiLevelType w:val="multilevel"/>
    <w:tmpl w:val="E2B6EC5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440" w:hanging="72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1800" w:hanging="1080"/>
      </w:pPr>
      <w:rPr>
        <w:rFonts w:hint="default"/>
      </w:rPr>
    </w:lvl>
    <w:lvl w:ilvl="8">
      <w:start w:val="1"/>
      <w:numFmt w:val="decimal"/>
      <w:isLgl/>
      <w:lvlText w:val="%1.%2.%3.%4.%5.%6.%7.%8.%9."/>
      <w:lvlJc w:val="left"/>
      <w:pPr>
        <w:ind w:left="2160" w:hanging="1440"/>
      </w:pPr>
      <w:rPr>
        <w:rFonts w:hint="default"/>
      </w:rPr>
    </w:lvl>
  </w:abstractNum>
  <w:abstractNum w:abstractNumId="3" w15:restartNumberingAfterBreak="0">
    <w:nsid w:val="05C33F94"/>
    <w:multiLevelType w:val="hybridMultilevel"/>
    <w:tmpl w:val="310A9880"/>
    <w:lvl w:ilvl="0" w:tplc="D7FC787E">
      <w:numFmt w:val="bullet"/>
      <w:lvlText w:val="-"/>
      <w:lvlJc w:val="left"/>
      <w:pPr>
        <w:ind w:left="855" w:hanging="360"/>
      </w:pPr>
      <w:rPr>
        <w:rFonts w:ascii="Times New Roman" w:eastAsia="Verdana" w:hAnsi="Times New Roman" w:cs="Times New Roman" w:hint="default"/>
      </w:rPr>
    </w:lvl>
    <w:lvl w:ilvl="1" w:tplc="08090003" w:tentative="1">
      <w:start w:val="1"/>
      <w:numFmt w:val="bullet"/>
      <w:lvlText w:val="o"/>
      <w:lvlJc w:val="left"/>
      <w:pPr>
        <w:ind w:left="1575" w:hanging="360"/>
      </w:pPr>
      <w:rPr>
        <w:rFonts w:ascii="Courier New" w:hAnsi="Courier New" w:cs="Courier New" w:hint="default"/>
      </w:rPr>
    </w:lvl>
    <w:lvl w:ilvl="2" w:tplc="08090005" w:tentative="1">
      <w:start w:val="1"/>
      <w:numFmt w:val="bullet"/>
      <w:lvlText w:val=""/>
      <w:lvlJc w:val="left"/>
      <w:pPr>
        <w:ind w:left="2295" w:hanging="360"/>
      </w:pPr>
      <w:rPr>
        <w:rFonts w:ascii="Wingdings" w:hAnsi="Wingdings" w:hint="default"/>
      </w:rPr>
    </w:lvl>
    <w:lvl w:ilvl="3" w:tplc="08090001" w:tentative="1">
      <w:start w:val="1"/>
      <w:numFmt w:val="bullet"/>
      <w:lvlText w:val=""/>
      <w:lvlJc w:val="left"/>
      <w:pPr>
        <w:ind w:left="3015" w:hanging="360"/>
      </w:pPr>
      <w:rPr>
        <w:rFonts w:ascii="Symbol" w:hAnsi="Symbol" w:hint="default"/>
      </w:rPr>
    </w:lvl>
    <w:lvl w:ilvl="4" w:tplc="08090003" w:tentative="1">
      <w:start w:val="1"/>
      <w:numFmt w:val="bullet"/>
      <w:lvlText w:val="o"/>
      <w:lvlJc w:val="left"/>
      <w:pPr>
        <w:ind w:left="3735" w:hanging="360"/>
      </w:pPr>
      <w:rPr>
        <w:rFonts w:ascii="Courier New" w:hAnsi="Courier New" w:cs="Courier New" w:hint="default"/>
      </w:rPr>
    </w:lvl>
    <w:lvl w:ilvl="5" w:tplc="08090005" w:tentative="1">
      <w:start w:val="1"/>
      <w:numFmt w:val="bullet"/>
      <w:lvlText w:val=""/>
      <w:lvlJc w:val="left"/>
      <w:pPr>
        <w:ind w:left="4455" w:hanging="360"/>
      </w:pPr>
      <w:rPr>
        <w:rFonts w:ascii="Wingdings" w:hAnsi="Wingdings" w:hint="default"/>
      </w:rPr>
    </w:lvl>
    <w:lvl w:ilvl="6" w:tplc="08090001" w:tentative="1">
      <w:start w:val="1"/>
      <w:numFmt w:val="bullet"/>
      <w:lvlText w:val=""/>
      <w:lvlJc w:val="left"/>
      <w:pPr>
        <w:ind w:left="5175" w:hanging="360"/>
      </w:pPr>
      <w:rPr>
        <w:rFonts w:ascii="Symbol" w:hAnsi="Symbol" w:hint="default"/>
      </w:rPr>
    </w:lvl>
    <w:lvl w:ilvl="7" w:tplc="08090003" w:tentative="1">
      <w:start w:val="1"/>
      <w:numFmt w:val="bullet"/>
      <w:lvlText w:val="o"/>
      <w:lvlJc w:val="left"/>
      <w:pPr>
        <w:ind w:left="5895" w:hanging="360"/>
      </w:pPr>
      <w:rPr>
        <w:rFonts w:ascii="Courier New" w:hAnsi="Courier New" w:cs="Courier New" w:hint="default"/>
      </w:rPr>
    </w:lvl>
    <w:lvl w:ilvl="8" w:tplc="08090005" w:tentative="1">
      <w:start w:val="1"/>
      <w:numFmt w:val="bullet"/>
      <w:lvlText w:val=""/>
      <w:lvlJc w:val="left"/>
      <w:pPr>
        <w:ind w:left="6615" w:hanging="360"/>
      </w:pPr>
      <w:rPr>
        <w:rFonts w:ascii="Wingdings" w:hAnsi="Wingdings" w:hint="default"/>
      </w:rPr>
    </w:lvl>
  </w:abstractNum>
  <w:abstractNum w:abstractNumId="4" w15:restartNumberingAfterBreak="0">
    <w:nsid w:val="088F0AF4"/>
    <w:multiLevelType w:val="hybridMultilevel"/>
    <w:tmpl w:val="E1868FB8"/>
    <w:lvl w:ilvl="0" w:tplc="2AB6FBCE">
      <w:start w:val="1"/>
      <w:numFmt w:val="bullet"/>
      <w:lvlText w:val="•"/>
      <w:lvlJc w:val="left"/>
      <w:pPr>
        <w:ind w:left="135" w:hanging="1781"/>
      </w:pPr>
      <w:rPr>
        <w:rFonts w:ascii="Verdana" w:eastAsia="Verdana" w:hAnsi="Verdana" w:hint="default"/>
        <w:sz w:val="18"/>
        <w:szCs w:val="18"/>
      </w:rPr>
    </w:lvl>
    <w:lvl w:ilvl="1" w:tplc="BC0EE906">
      <w:start w:val="1"/>
      <w:numFmt w:val="bullet"/>
      <w:lvlText w:val="•"/>
      <w:lvlJc w:val="left"/>
      <w:pPr>
        <w:ind w:left="883" w:hanging="1781"/>
      </w:pPr>
      <w:rPr>
        <w:rFonts w:hint="default"/>
      </w:rPr>
    </w:lvl>
    <w:lvl w:ilvl="2" w:tplc="08F29498">
      <w:start w:val="1"/>
      <w:numFmt w:val="bullet"/>
      <w:lvlText w:val="•"/>
      <w:lvlJc w:val="left"/>
      <w:pPr>
        <w:ind w:left="1630" w:hanging="1781"/>
      </w:pPr>
      <w:rPr>
        <w:rFonts w:hint="default"/>
      </w:rPr>
    </w:lvl>
    <w:lvl w:ilvl="3" w:tplc="24AA0008">
      <w:start w:val="1"/>
      <w:numFmt w:val="bullet"/>
      <w:lvlText w:val="•"/>
      <w:lvlJc w:val="left"/>
      <w:pPr>
        <w:ind w:left="2377" w:hanging="1781"/>
      </w:pPr>
      <w:rPr>
        <w:rFonts w:hint="default"/>
      </w:rPr>
    </w:lvl>
    <w:lvl w:ilvl="4" w:tplc="992A6FA0">
      <w:start w:val="1"/>
      <w:numFmt w:val="bullet"/>
      <w:lvlText w:val="•"/>
      <w:lvlJc w:val="left"/>
      <w:pPr>
        <w:ind w:left="3124" w:hanging="1781"/>
      </w:pPr>
      <w:rPr>
        <w:rFonts w:hint="default"/>
      </w:rPr>
    </w:lvl>
    <w:lvl w:ilvl="5" w:tplc="A5563E4C">
      <w:start w:val="1"/>
      <w:numFmt w:val="bullet"/>
      <w:lvlText w:val="•"/>
      <w:lvlJc w:val="left"/>
      <w:pPr>
        <w:ind w:left="3872" w:hanging="1781"/>
      </w:pPr>
      <w:rPr>
        <w:rFonts w:hint="default"/>
      </w:rPr>
    </w:lvl>
    <w:lvl w:ilvl="6" w:tplc="32C87A82">
      <w:start w:val="1"/>
      <w:numFmt w:val="bullet"/>
      <w:lvlText w:val="•"/>
      <w:lvlJc w:val="left"/>
      <w:pPr>
        <w:ind w:left="4619" w:hanging="1781"/>
      </w:pPr>
      <w:rPr>
        <w:rFonts w:hint="default"/>
      </w:rPr>
    </w:lvl>
    <w:lvl w:ilvl="7" w:tplc="4C2214AC">
      <w:start w:val="1"/>
      <w:numFmt w:val="bullet"/>
      <w:lvlText w:val="•"/>
      <w:lvlJc w:val="left"/>
      <w:pPr>
        <w:ind w:left="5366" w:hanging="1781"/>
      </w:pPr>
      <w:rPr>
        <w:rFonts w:hint="default"/>
      </w:rPr>
    </w:lvl>
    <w:lvl w:ilvl="8" w:tplc="493CF38C">
      <w:start w:val="1"/>
      <w:numFmt w:val="bullet"/>
      <w:lvlText w:val="•"/>
      <w:lvlJc w:val="left"/>
      <w:pPr>
        <w:ind w:left="6113" w:hanging="1781"/>
      </w:pPr>
      <w:rPr>
        <w:rFonts w:hint="default"/>
      </w:rPr>
    </w:lvl>
  </w:abstractNum>
  <w:abstractNum w:abstractNumId="5" w15:restartNumberingAfterBreak="0">
    <w:nsid w:val="0C2508EC"/>
    <w:multiLevelType w:val="hybridMultilevel"/>
    <w:tmpl w:val="48C2A8D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E283D6C"/>
    <w:multiLevelType w:val="hybridMultilevel"/>
    <w:tmpl w:val="9524F584"/>
    <w:lvl w:ilvl="0" w:tplc="236EA62C">
      <w:start w:val="1"/>
      <w:numFmt w:val="decimal"/>
      <w:lvlText w:val="%1."/>
      <w:lvlJc w:val="left"/>
      <w:pPr>
        <w:ind w:left="720" w:hanging="360"/>
      </w:pPr>
    </w:lvl>
    <w:lvl w:ilvl="1" w:tplc="0407000F">
      <w:start w:val="1"/>
      <w:numFmt w:val="decimal"/>
      <w:lvlText w:val="%2."/>
      <w:lvlJc w:val="left"/>
      <w:pPr>
        <w:tabs>
          <w:tab w:val="num" w:pos="1800"/>
        </w:tabs>
        <w:ind w:left="1800" w:hanging="720"/>
      </w:pPr>
      <w:rPr>
        <w:rFonts w:hint="default"/>
      </w:rPr>
    </w:lvl>
    <w:lvl w:ilvl="2" w:tplc="04070005">
      <w:start w:val="1"/>
      <w:numFmt w:val="lowerRoman"/>
      <w:lvlText w:val="%3."/>
      <w:lvlJc w:val="right"/>
      <w:pPr>
        <w:ind w:left="2160" w:hanging="180"/>
      </w:pPr>
    </w:lvl>
    <w:lvl w:ilvl="3" w:tplc="7392241E">
      <w:start w:val="33"/>
      <w:numFmt w:val="bullet"/>
      <w:lvlText w:val="-"/>
      <w:lvlJc w:val="left"/>
      <w:pPr>
        <w:ind w:left="2880" w:hanging="360"/>
      </w:pPr>
      <w:rPr>
        <w:rFonts w:ascii="Verdana" w:eastAsia="Times New Roman" w:hAnsi="Verdana" w:cs="Times New Roman" w:hint="default"/>
      </w:r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7" w15:restartNumberingAfterBreak="0">
    <w:nsid w:val="12377173"/>
    <w:multiLevelType w:val="hybridMultilevel"/>
    <w:tmpl w:val="CBDE91A4"/>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8" w15:restartNumberingAfterBreak="0">
    <w:nsid w:val="13292ED7"/>
    <w:multiLevelType w:val="hybridMultilevel"/>
    <w:tmpl w:val="4B4AB998"/>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9" w15:restartNumberingAfterBreak="0">
    <w:nsid w:val="165F760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10" w15:restartNumberingAfterBreak="0">
    <w:nsid w:val="1CF7637F"/>
    <w:multiLevelType w:val="multilevel"/>
    <w:tmpl w:val="809E9564"/>
    <w:lvl w:ilvl="0">
      <w:start w:val="2"/>
      <w:numFmt w:val="decimal"/>
      <w:lvlText w:val="%1"/>
      <w:lvlJc w:val="left"/>
      <w:pPr>
        <w:ind w:left="495" w:hanging="495"/>
      </w:pPr>
      <w:rPr>
        <w:rFonts w:hint="default"/>
      </w:rPr>
    </w:lvl>
    <w:lvl w:ilvl="1">
      <w:start w:val="1"/>
      <w:numFmt w:val="decimal"/>
      <w:lvlText w:val="%1.%2"/>
      <w:lvlJc w:val="left"/>
      <w:pPr>
        <w:ind w:left="735" w:hanging="495"/>
      </w:pPr>
      <w:rPr>
        <w:rFonts w:hint="default"/>
      </w:rPr>
    </w:lvl>
    <w:lvl w:ilvl="2">
      <w:start w:val="1"/>
      <w:numFmt w:val="decimal"/>
      <w:lvlText w:val="%1.%2.%3"/>
      <w:lvlJc w:val="left"/>
      <w:pPr>
        <w:ind w:left="975" w:hanging="495"/>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680" w:hanging="72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2760" w:hanging="1080"/>
      </w:pPr>
      <w:rPr>
        <w:rFonts w:hint="default"/>
      </w:rPr>
    </w:lvl>
    <w:lvl w:ilvl="8">
      <w:start w:val="1"/>
      <w:numFmt w:val="decimal"/>
      <w:lvlText w:val="%1.%2.%3.%4.%5.%6.%7.%8.%9"/>
      <w:lvlJc w:val="left"/>
      <w:pPr>
        <w:ind w:left="3360" w:hanging="1440"/>
      </w:pPr>
      <w:rPr>
        <w:rFonts w:hint="default"/>
      </w:rPr>
    </w:lvl>
  </w:abstractNum>
  <w:abstractNum w:abstractNumId="11" w15:restartNumberingAfterBreak="0">
    <w:nsid w:val="1D806AB1"/>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2" w15:restartNumberingAfterBreak="0">
    <w:nsid w:val="25ED1C11"/>
    <w:multiLevelType w:val="hybridMultilevel"/>
    <w:tmpl w:val="EF74B4CE"/>
    <w:lvl w:ilvl="0" w:tplc="BCA8F1B4">
      <w:start w:val="1"/>
      <w:numFmt w:val="bullet"/>
      <w:lvlText w:val="•"/>
      <w:lvlJc w:val="left"/>
      <w:pPr>
        <w:ind w:left="135" w:hanging="1781"/>
      </w:pPr>
      <w:rPr>
        <w:rFonts w:ascii="Verdana" w:eastAsia="Verdana" w:hAnsi="Verdana" w:hint="default"/>
        <w:sz w:val="18"/>
        <w:szCs w:val="18"/>
      </w:rPr>
    </w:lvl>
    <w:lvl w:ilvl="1" w:tplc="2ACC479C">
      <w:start w:val="1"/>
      <w:numFmt w:val="bullet"/>
      <w:lvlText w:val="•"/>
      <w:lvlJc w:val="left"/>
      <w:pPr>
        <w:ind w:left="883" w:hanging="1781"/>
      </w:pPr>
      <w:rPr>
        <w:rFonts w:hint="default"/>
      </w:rPr>
    </w:lvl>
    <w:lvl w:ilvl="2" w:tplc="A720F606">
      <w:start w:val="1"/>
      <w:numFmt w:val="bullet"/>
      <w:lvlText w:val="•"/>
      <w:lvlJc w:val="left"/>
      <w:pPr>
        <w:ind w:left="1630" w:hanging="1781"/>
      </w:pPr>
      <w:rPr>
        <w:rFonts w:hint="default"/>
      </w:rPr>
    </w:lvl>
    <w:lvl w:ilvl="3" w:tplc="E7DEBADE">
      <w:start w:val="1"/>
      <w:numFmt w:val="bullet"/>
      <w:lvlText w:val="•"/>
      <w:lvlJc w:val="left"/>
      <w:pPr>
        <w:ind w:left="2377" w:hanging="1781"/>
      </w:pPr>
      <w:rPr>
        <w:rFonts w:hint="default"/>
      </w:rPr>
    </w:lvl>
    <w:lvl w:ilvl="4" w:tplc="5C48C106">
      <w:start w:val="1"/>
      <w:numFmt w:val="bullet"/>
      <w:lvlText w:val="•"/>
      <w:lvlJc w:val="left"/>
      <w:pPr>
        <w:ind w:left="3124" w:hanging="1781"/>
      </w:pPr>
      <w:rPr>
        <w:rFonts w:hint="default"/>
      </w:rPr>
    </w:lvl>
    <w:lvl w:ilvl="5" w:tplc="B2002ABE">
      <w:start w:val="1"/>
      <w:numFmt w:val="bullet"/>
      <w:lvlText w:val="•"/>
      <w:lvlJc w:val="left"/>
      <w:pPr>
        <w:ind w:left="3872" w:hanging="1781"/>
      </w:pPr>
      <w:rPr>
        <w:rFonts w:hint="default"/>
      </w:rPr>
    </w:lvl>
    <w:lvl w:ilvl="6" w:tplc="45D42C94">
      <w:start w:val="1"/>
      <w:numFmt w:val="bullet"/>
      <w:lvlText w:val="•"/>
      <w:lvlJc w:val="left"/>
      <w:pPr>
        <w:ind w:left="4619" w:hanging="1781"/>
      </w:pPr>
      <w:rPr>
        <w:rFonts w:hint="default"/>
      </w:rPr>
    </w:lvl>
    <w:lvl w:ilvl="7" w:tplc="9112C53C">
      <w:start w:val="1"/>
      <w:numFmt w:val="bullet"/>
      <w:lvlText w:val="•"/>
      <w:lvlJc w:val="left"/>
      <w:pPr>
        <w:ind w:left="5366" w:hanging="1781"/>
      </w:pPr>
      <w:rPr>
        <w:rFonts w:hint="default"/>
      </w:rPr>
    </w:lvl>
    <w:lvl w:ilvl="8" w:tplc="0F989A0E">
      <w:start w:val="1"/>
      <w:numFmt w:val="bullet"/>
      <w:lvlText w:val="•"/>
      <w:lvlJc w:val="left"/>
      <w:pPr>
        <w:ind w:left="6113" w:hanging="1781"/>
      </w:pPr>
      <w:rPr>
        <w:rFonts w:hint="default"/>
      </w:rPr>
    </w:lvl>
  </w:abstractNum>
  <w:abstractNum w:abstractNumId="13" w15:restartNumberingAfterBreak="0">
    <w:nsid w:val="27A518FD"/>
    <w:multiLevelType w:val="multilevel"/>
    <w:tmpl w:val="1E2E487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3"/>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4" w15:restartNumberingAfterBreak="0">
    <w:nsid w:val="2B786613"/>
    <w:multiLevelType w:val="multilevel"/>
    <w:tmpl w:val="558A2706"/>
    <w:lvl w:ilvl="0">
      <w:start w:val="1"/>
      <w:numFmt w:val="decimal"/>
      <w:lvlText w:val="%1"/>
      <w:lvlJc w:val="left"/>
      <w:pPr>
        <w:ind w:left="396" w:hanging="295"/>
      </w:pPr>
      <w:rPr>
        <w:rFonts w:hint="default"/>
      </w:rPr>
    </w:lvl>
    <w:lvl w:ilvl="1">
      <w:start w:val="1"/>
      <w:numFmt w:val="decimal"/>
      <w:lvlText w:val="%1.%2"/>
      <w:lvlJc w:val="left"/>
      <w:pPr>
        <w:ind w:left="396" w:hanging="295"/>
      </w:pPr>
      <w:rPr>
        <w:rFonts w:hint="default"/>
        <w:u w:val="single" w:color="000000"/>
      </w:rPr>
    </w:lvl>
    <w:lvl w:ilvl="2">
      <w:start w:val="1"/>
      <w:numFmt w:val="bullet"/>
      <w:lvlText w:val="•"/>
      <w:lvlJc w:val="left"/>
      <w:pPr>
        <w:ind w:left="1886" w:hanging="295"/>
      </w:pPr>
      <w:rPr>
        <w:rFonts w:hint="default"/>
      </w:rPr>
    </w:lvl>
    <w:lvl w:ilvl="3">
      <w:start w:val="1"/>
      <w:numFmt w:val="bullet"/>
      <w:lvlText w:val="•"/>
      <w:lvlJc w:val="left"/>
      <w:pPr>
        <w:ind w:left="2631" w:hanging="295"/>
      </w:pPr>
      <w:rPr>
        <w:rFonts w:hint="default"/>
      </w:rPr>
    </w:lvl>
    <w:lvl w:ilvl="4">
      <w:start w:val="1"/>
      <w:numFmt w:val="bullet"/>
      <w:lvlText w:val="•"/>
      <w:lvlJc w:val="left"/>
      <w:pPr>
        <w:ind w:left="3376" w:hanging="295"/>
      </w:pPr>
      <w:rPr>
        <w:rFonts w:hint="default"/>
      </w:rPr>
    </w:lvl>
    <w:lvl w:ilvl="5">
      <w:start w:val="1"/>
      <w:numFmt w:val="bullet"/>
      <w:lvlText w:val="•"/>
      <w:lvlJc w:val="left"/>
      <w:pPr>
        <w:ind w:left="4121" w:hanging="295"/>
      </w:pPr>
      <w:rPr>
        <w:rFonts w:hint="default"/>
      </w:rPr>
    </w:lvl>
    <w:lvl w:ilvl="6">
      <w:start w:val="1"/>
      <w:numFmt w:val="bullet"/>
      <w:lvlText w:val="•"/>
      <w:lvlJc w:val="left"/>
      <w:pPr>
        <w:ind w:left="4866" w:hanging="295"/>
      </w:pPr>
      <w:rPr>
        <w:rFonts w:hint="default"/>
      </w:rPr>
    </w:lvl>
    <w:lvl w:ilvl="7">
      <w:start w:val="1"/>
      <w:numFmt w:val="bullet"/>
      <w:lvlText w:val="•"/>
      <w:lvlJc w:val="left"/>
      <w:pPr>
        <w:ind w:left="5611" w:hanging="295"/>
      </w:pPr>
      <w:rPr>
        <w:rFonts w:hint="default"/>
      </w:rPr>
    </w:lvl>
    <w:lvl w:ilvl="8">
      <w:start w:val="1"/>
      <w:numFmt w:val="bullet"/>
      <w:lvlText w:val="•"/>
      <w:lvlJc w:val="left"/>
      <w:pPr>
        <w:ind w:left="6356" w:hanging="295"/>
      </w:pPr>
      <w:rPr>
        <w:rFonts w:hint="default"/>
      </w:rPr>
    </w:lvl>
  </w:abstractNum>
  <w:abstractNum w:abstractNumId="15" w15:restartNumberingAfterBreak="0">
    <w:nsid w:val="2DE565D6"/>
    <w:multiLevelType w:val="hybridMultilevel"/>
    <w:tmpl w:val="DBBA2B6C"/>
    <w:lvl w:ilvl="0" w:tplc="2EC6C4D0">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30C06FF6"/>
    <w:multiLevelType w:val="multilevel"/>
    <w:tmpl w:val="0A40BC34"/>
    <w:lvl w:ilvl="0">
      <w:start w:val="1"/>
      <w:numFmt w:val="decimal"/>
      <w:lvlText w:val="%1."/>
      <w:lvlJc w:val="left"/>
      <w:pPr>
        <w:ind w:left="468" w:hanging="468"/>
      </w:pPr>
      <w:rPr>
        <w:rFonts w:eastAsia="Calibri" w:hint="default"/>
        <w:b/>
      </w:rPr>
    </w:lvl>
    <w:lvl w:ilvl="1">
      <w:start w:val="1"/>
      <w:numFmt w:val="decimal"/>
      <w:lvlText w:val="%1.%2."/>
      <w:lvlJc w:val="left"/>
      <w:pPr>
        <w:ind w:left="535" w:hanging="468"/>
      </w:pPr>
      <w:rPr>
        <w:rFonts w:eastAsia="Calibri" w:hint="default"/>
        <w:b/>
      </w:rPr>
    </w:lvl>
    <w:lvl w:ilvl="2">
      <w:start w:val="1"/>
      <w:numFmt w:val="decimal"/>
      <w:lvlText w:val="%1.%2.%3."/>
      <w:lvlJc w:val="left"/>
      <w:pPr>
        <w:ind w:left="854" w:hanging="720"/>
      </w:pPr>
      <w:rPr>
        <w:rFonts w:eastAsia="Calibri" w:hint="default"/>
        <w:b/>
      </w:rPr>
    </w:lvl>
    <w:lvl w:ilvl="3">
      <w:start w:val="1"/>
      <w:numFmt w:val="decimal"/>
      <w:lvlText w:val="%1.%2.%3.%4."/>
      <w:lvlJc w:val="left"/>
      <w:pPr>
        <w:ind w:left="921" w:hanging="720"/>
      </w:pPr>
      <w:rPr>
        <w:rFonts w:eastAsia="Calibri" w:hint="default"/>
        <w:b/>
      </w:rPr>
    </w:lvl>
    <w:lvl w:ilvl="4">
      <w:start w:val="1"/>
      <w:numFmt w:val="decimal"/>
      <w:lvlText w:val="%1.%2.%3.%4.%5."/>
      <w:lvlJc w:val="left"/>
      <w:pPr>
        <w:ind w:left="988" w:hanging="720"/>
      </w:pPr>
      <w:rPr>
        <w:rFonts w:eastAsia="Calibri" w:hint="default"/>
        <w:b/>
      </w:rPr>
    </w:lvl>
    <w:lvl w:ilvl="5">
      <w:start w:val="1"/>
      <w:numFmt w:val="decimal"/>
      <w:lvlText w:val="%1.%2.%3.%4.%5.%6."/>
      <w:lvlJc w:val="left"/>
      <w:pPr>
        <w:ind w:left="1415" w:hanging="1080"/>
      </w:pPr>
      <w:rPr>
        <w:rFonts w:eastAsia="Calibri" w:hint="default"/>
        <w:b/>
      </w:rPr>
    </w:lvl>
    <w:lvl w:ilvl="6">
      <w:start w:val="1"/>
      <w:numFmt w:val="decimal"/>
      <w:lvlText w:val="%1.%2.%3.%4.%5.%6.%7."/>
      <w:lvlJc w:val="left"/>
      <w:pPr>
        <w:ind w:left="1482" w:hanging="1080"/>
      </w:pPr>
      <w:rPr>
        <w:rFonts w:eastAsia="Calibri" w:hint="default"/>
        <w:b/>
      </w:rPr>
    </w:lvl>
    <w:lvl w:ilvl="7">
      <w:start w:val="1"/>
      <w:numFmt w:val="decimal"/>
      <w:lvlText w:val="%1.%2.%3.%4.%5.%6.%7.%8."/>
      <w:lvlJc w:val="left"/>
      <w:pPr>
        <w:ind w:left="1549" w:hanging="1080"/>
      </w:pPr>
      <w:rPr>
        <w:rFonts w:eastAsia="Calibri" w:hint="default"/>
        <w:b/>
      </w:rPr>
    </w:lvl>
    <w:lvl w:ilvl="8">
      <w:start w:val="1"/>
      <w:numFmt w:val="decimal"/>
      <w:lvlText w:val="%1.%2.%3.%4.%5.%6.%7.%8.%9."/>
      <w:lvlJc w:val="left"/>
      <w:pPr>
        <w:ind w:left="1976" w:hanging="1440"/>
      </w:pPr>
      <w:rPr>
        <w:rFonts w:eastAsia="Calibri" w:hint="default"/>
        <w:b/>
      </w:rPr>
    </w:lvl>
  </w:abstractNum>
  <w:abstractNum w:abstractNumId="17" w15:restartNumberingAfterBreak="0">
    <w:nsid w:val="326C1D06"/>
    <w:multiLevelType w:val="hybridMultilevel"/>
    <w:tmpl w:val="60B47886"/>
    <w:lvl w:ilvl="0" w:tplc="0D5867B8">
      <w:start w:val="1"/>
      <w:numFmt w:val="decimal"/>
      <w:lvlText w:val="%1."/>
      <w:lvlJc w:val="left"/>
      <w:pPr>
        <w:ind w:left="1396" w:hanging="850"/>
      </w:pPr>
      <w:rPr>
        <w:rFonts w:ascii="Verdana" w:eastAsia="Verdana" w:hAnsi="Verdana" w:hint="default"/>
        <w:sz w:val="18"/>
        <w:szCs w:val="18"/>
      </w:rPr>
    </w:lvl>
    <w:lvl w:ilvl="1" w:tplc="6D283102">
      <w:start w:val="1"/>
      <w:numFmt w:val="lowerRoman"/>
      <w:lvlText w:val="%2."/>
      <w:lvlJc w:val="left"/>
      <w:pPr>
        <w:ind w:left="2529" w:hanging="682"/>
      </w:pPr>
      <w:rPr>
        <w:rFonts w:ascii="Verdana" w:eastAsia="Verdana" w:hAnsi="Verdana" w:hint="default"/>
        <w:spacing w:val="1"/>
        <w:sz w:val="18"/>
        <w:szCs w:val="18"/>
      </w:rPr>
    </w:lvl>
    <w:lvl w:ilvl="2" w:tplc="79261832">
      <w:start w:val="1"/>
      <w:numFmt w:val="bullet"/>
      <w:lvlText w:val="•"/>
      <w:lvlJc w:val="left"/>
      <w:pPr>
        <w:ind w:left="3278" w:hanging="682"/>
      </w:pPr>
      <w:rPr>
        <w:rFonts w:hint="default"/>
      </w:rPr>
    </w:lvl>
    <w:lvl w:ilvl="3" w:tplc="AE9C1CB4">
      <w:start w:val="1"/>
      <w:numFmt w:val="bullet"/>
      <w:lvlText w:val="•"/>
      <w:lvlJc w:val="left"/>
      <w:pPr>
        <w:ind w:left="4026" w:hanging="682"/>
      </w:pPr>
      <w:rPr>
        <w:rFonts w:hint="default"/>
      </w:rPr>
    </w:lvl>
    <w:lvl w:ilvl="4" w:tplc="97E81642">
      <w:start w:val="1"/>
      <w:numFmt w:val="bullet"/>
      <w:lvlText w:val="•"/>
      <w:lvlJc w:val="left"/>
      <w:pPr>
        <w:ind w:left="4775" w:hanging="682"/>
      </w:pPr>
      <w:rPr>
        <w:rFonts w:hint="default"/>
      </w:rPr>
    </w:lvl>
    <w:lvl w:ilvl="5" w:tplc="5DA26356">
      <w:start w:val="1"/>
      <w:numFmt w:val="bullet"/>
      <w:lvlText w:val="•"/>
      <w:lvlJc w:val="left"/>
      <w:pPr>
        <w:ind w:left="5523" w:hanging="682"/>
      </w:pPr>
      <w:rPr>
        <w:rFonts w:hint="default"/>
      </w:rPr>
    </w:lvl>
    <w:lvl w:ilvl="6" w:tplc="602AB5A6">
      <w:start w:val="1"/>
      <w:numFmt w:val="bullet"/>
      <w:lvlText w:val="•"/>
      <w:lvlJc w:val="left"/>
      <w:pPr>
        <w:ind w:left="6272" w:hanging="682"/>
      </w:pPr>
      <w:rPr>
        <w:rFonts w:hint="default"/>
      </w:rPr>
    </w:lvl>
    <w:lvl w:ilvl="7" w:tplc="51F6ADEA">
      <w:start w:val="1"/>
      <w:numFmt w:val="bullet"/>
      <w:lvlText w:val="•"/>
      <w:lvlJc w:val="left"/>
      <w:pPr>
        <w:ind w:left="7020" w:hanging="682"/>
      </w:pPr>
      <w:rPr>
        <w:rFonts w:hint="default"/>
      </w:rPr>
    </w:lvl>
    <w:lvl w:ilvl="8" w:tplc="6EE4A1CA">
      <w:start w:val="1"/>
      <w:numFmt w:val="bullet"/>
      <w:lvlText w:val="•"/>
      <w:lvlJc w:val="left"/>
      <w:pPr>
        <w:ind w:left="7769" w:hanging="682"/>
      </w:pPr>
      <w:rPr>
        <w:rFonts w:hint="default"/>
      </w:rPr>
    </w:lvl>
  </w:abstractNum>
  <w:abstractNum w:abstractNumId="18" w15:restartNumberingAfterBreak="0">
    <w:nsid w:val="33057CB8"/>
    <w:multiLevelType w:val="hybridMultilevel"/>
    <w:tmpl w:val="C1A6A8A0"/>
    <w:lvl w:ilvl="0" w:tplc="41862542">
      <w:start w:val="1"/>
      <w:numFmt w:val="decimal"/>
      <w:pStyle w:val="InstructionsText2"/>
      <w:lvlText w:val="%1."/>
      <w:lvlJc w:val="left"/>
      <w:pPr>
        <w:ind w:left="720" w:hanging="360"/>
      </w:pPr>
      <w:rPr>
        <w:rFonts w:hint="default"/>
      </w:rPr>
    </w:lvl>
    <w:lvl w:ilvl="1" w:tplc="08090001">
      <w:start w:val="1"/>
      <w:numFmt w:val="bullet"/>
      <w:lvlText w:val=""/>
      <w:lvlJc w:val="left"/>
      <w:pPr>
        <w:tabs>
          <w:tab w:val="num" w:pos="0"/>
        </w:tabs>
        <w:ind w:left="1440" w:hanging="360"/>
      </w:pPr>
      <w:rPr>
        <w:rFonts w:ascii="Symbol" w:hAnsi="Symbol"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9" w15:restartNumberingAfterBreak="0">
    <w:nsid w:val="387E6BEA"/>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0" w15:restartNumberingAfterBreak="0">
    <w:nsid w:val="417020CE"/>
    <w:multiLevelType w:val="hybridMultilevel"/>
    <w:tmpl w:val="65CA5FA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45F2C98"/>
    <w:multiLevelType w:val="hybridMultilevel"/>
    <w:tmpl w:val="08260B06"/>
    <w:lvl w:ilvl="0" w:tplc="22FA2A12">
      <w:start w:val="1"/>
      <w:numFmt w:val="bullet"/>
      <w:lvlText w:val="•"/>
      <w:lvlJc w:val="left"/>
      <w:pPr>
        <w:ind w:left="135" w:hanging="1781"/>
      </w:pPr>
      <w:rPr>
        <w:rFonts w:ascii="Verdana" w:eastAsia="Verdana" w:hAnsi="Verdana" w:hint="default"/>
        <w:sz w:val="18"/>
        <w:szCs w:val="18"/>
      </w:rPr>
    </w:lvl>
    <w:lvl w:ilvl="1" w:tplc="4E72E8D0">
      <w:start w:val="1"/>
      <w:numFmt w:val="bullet"/>
      <w:lvlText w:val="•"/>
      <w:lvlJc w:val="left"/>
      <w:pPr>
        <w:ind w:left="883" w:hanging="1781"/>
      </w:pPr>
      <w:rPr>
        <w:rFonts w:hint="default"/>
      </w:rPr>
    </w:lvl>
    <w:lvl w:ilvl="2" w:tplc="0B480798">
      <w:start w:val="1"/>
      <w:numFmt w:val="bullet"/>
      <w:lvlText w:val="•"/>
      <w:lvlJc w:val="left"/>
      <w:pPr>
        <w:ind w:left="1630" w:hanging="1781"/>
      </w:pPr>
      <w:rPr>
        <w:rFonts w:hint="default"/>
      </w:rPr>
    </w:lvl>
    <w:lvl w:ilvl="3" w:tplc="A440B58A">
      <w:start w:val="1"/>
      <w:numFmt w:val="bullet"/>
      <w:lvlText w:val="•"/>
      <w:lvlJc w:val="left"/>
      <w:pPr>
        <w:ind w:left="2377" w:hanging="1781"/>
      </w:pPr>
      <w:rPr>
        <w:rFonts w:hint="default"/>
      </w:rPr>
    </w:lvl>
    <w:lvl w:ilvl="4" w:tplc="24A2D7A2">
      <w:start w:val="1"/>
      <w:numFmt w:val="bullet"/>
      <w:lvlText w:val="•"/>
      <w:lvlJc w:val="left"/>
      <w:pPr>
        <w:ind w:left="3124" w:hanging="1781"/>
      </w:pPr>
      <w:rPr>
        <w:rFonts w:hint="default"/>
      </w:rPr>
    </w:lvl>
    <w:lvl w:ilvl="5" w:tplc="FEEAFDA6">
      <w:start w:val="1"/>
      <w:numFmt w:val="bullet"/>
      <w:lvlText w:val="•"/>
      <w:lvlJc w:val="left"/>
      <w:pPr>
        <w:ind w:left="3872" w:hanging="1781"/>
      </w:pPr>
      <w:rPr>
        <w:rFonts w:hint="default"/>
      </w:rPr>
    </w:lvl>
    <w:lvl w:ilvl="6" w:tplc="5106C7C4">
      <w:start w:val="1"/>
      <w:numFmt w:val="bullet"/>
      <w:lvlText w:val="•"/>
      <w:lvlJc w:val="left"/>
      <w:pPr>
        <w:ind w:left="4619" w:hanging="1781"/>
      </w:pPr>
      <w:rPr>
        <w:rFonts w:hint="default"/>
      </w:rPr>
    </w:lvl>
    <w:lvl w:ilvl="7" w:tplc="3F0063AC">
      <w:start w:val="1"/>
      <w:numFmt w:val="bullet"/>
      <w:lvlText w:val="•"/>
      <w:lvlJc w:val="left"/>
      <w:pPr>
        <w:ind w:left="5366" w:hanging="1781"/>
      </w:pPr>
      <w:rPr>
        <w:rFonts w:hint="default"/>
      </w:rPr>
    </w:lvl>
    <w:lvl w:ilvl="8" w:tplc="2EBE8454">
      <w:start w:val="1"/>
      <w:numFmt w:val="bullet"/>
      <w:lvlText w:val="•"/>
      <w:lvlJc w:val="left"/>
      <w:pPr>
        <w:ind w:left="6113" w:hanging="1781"/>
      </w:pPr>
      <w:rPr>
        <w:rFonts w:hint="default"/>
      </w:rPr>
    </w:lvl>
  </w:abstractNum>
  <w:abstractNum w:abstractNumId="22" w15:restartNumberingAfterBreak="0">
    <w:nsid w:val="44937A7D"/>
    <w:multiLevelType w:val="hybridMultilevel"/>
    <w:tmpl w:val="E70C51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B890152"/>
    <w:multiLevelType w:val="hybridMultilevel"/>
    <w:tmpl w:val="311452B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E3E75D4"/>
    <w:multiLevelType w:val="hybridMultilevel"/>
    <w:tmpl w:val="9A4E07F2"/>
    <w:lvl w:ilvl="0" w:tplc="0E646E9A">
      <w:start w:val="1"/>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25" w15:restartNumberingAfterBreak="0">
    <w:nsid w:val="51394B5F"/>
    <w:multiLevelType w:val="hybridMultilevel"/>
    <w:tmpl w:val="A13C25F2"/>
    <w:lvl w:ilvl="0" w:tplc="0809000F">
      <w:start w:val="1"/>
      <w:numFmt w:val="decimal"/>
      <w:lvlText w:val="%1."/>
      <w:lvlJc w:val="left"/>
      <w:pPr>
        <w:ind w:left="839" w:hanging="360"/>
      </w:pPr>
    </w:lvl>
    <w:lvl w:ilvl="1" w:tplc="08090019" w:tentative="1">
      <w:start w:val="1"/>
      <w:numFmt w:val="lowerLetter"/>
      <w:lvlText w:val="%2."/>
      <w:lvlJc w:val="left"/>
      <w:pPr>
        <w:ind w:left="1559" w:hanging="360"/>
      </w:pPr>
    </w:lvl>
    <w:lvl w:ilvl="2" w:tplc="0809001B" w:tentative="1">
      <w:start w:val="1"/>
      <w:numFmt w:val="lowerRoman"/>
      <w:lvlText w:val="%3."/>
      <w:lvlJc w:val="right"/>
      <w:pPr>
        <w:ind w:left="2279" w:hanging="180"/>
      </w:pPr>
    </w:lvl>
    <w:lvl w:ilvl="3" w:tplc="0809000F" w:tentative="1">
      <w:start w:val="1"/>
      <w:numFmt w:val="decimal"/>
      <w:lvlText w:val="%4."/>
      <w:lvlJc w:val="left"/>
      <w:pPr>
        <w:ind w:left="2999" w:hanging="360"/>
      </w:pPr>
    </w:lvl>
    <w:lvl w:ilvl="4" w:tplc="08090019" w:tentative="1">
      <w:start w:val="1"/>
      <w:numFmt w:val="lowerLetter"/>
      <w:lvlText w:val="%5."/>
      <w:lvlJc w:val="left"/>
      <w:pPr>
        <w:ind w:left="3719" w:hanging="360"/>
      </w:pPr>
    </w:lvl>
    <w:lvl w:ilvl="5" w:tplc="0809001B" w:tentative="1">
      <w:start w:val="1"/>
      <w:numFmt w:val="lowerRoman"/>
      <w:lvlText w:val="%6."/>
      <w:lvlJc w:val="right"/>
      <w:pPr>
        <w:ind w:left="4439" w:hanging="180"/>
      </w:pPr>
    </w:lvl>
    <w:lvl w:ilvl="6" w:tplc="0809000F" w:tentative="1">
      <w:start w:val="1"/>
      <w:numFmt w:val="decimal"/>
      <w:lvlText w:val="%7."/>
      <w:lvlJc w:val="left"/>
      <w:pPr>
        <w:ind w:left="5159" w:hanging="360"/>
      </w:pPr>
    </w:lvl>
    <w:lvl w:ilvl="7" w:tplc="08090019" w:tentative="1">
      <w:start w:val="1"/>
      <w:numFmt w:val="lowerLetter"/>
      <w:lvlText w:val="%8."/>
      <w:lvlJc w:val="left"/>
      <w:pPr>
        <w:ind w:left="5879" w:hanging="360"/>
      </w:pPr>
    </w:lvl>
    <w:lvl w:ilvl="8" w:tplc="0809001B" w:tentative="1">
      <w:start w:val="1"/>
      <w:numFmt w:val="lowerRoman"/>
      <w:lvlText w:val="%9."/>
      <w:lvlJc w:val="right"/>
      <w:pPr>
        <w:ind w:left="6599" w:hanging="180"/>
      </w:pPr>
    </w:lvl>
  </w:abstractNum>
  <w:abstractNum w:abstractNumId="26" w15:restartNumberingAfterBreak="0">
    <w:nsid w:val="55444B64"/>
    <w:multiLevelType w:val="hybridMultilevel"/>
    <w:tmpl w:val="C110FFF8"/>
    <w:lvl w:ilvl="0" w:tplc="60BC9376">
      <w:numFmt w:val="bullet"/>
      <w:lvlText w:val="-"/>
      <w:lvlJc w:val="left"/>
      <w:pPr>
        <w:ind w:left="644" w:hanging="360"/>
      </w:pPr>
      <w:rPr>
        <w:rFonts w:ascii="Calibri" w:eastAsia="SimSun" w:hAnsi="Calibri" w:cs="Times New Roman"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27" w15:restartNumberingAfterBreak="0">
    <w:nsid w:val="57C43AC7"/>
    <w:multiLevelType w:val="multilevel"/>
    <w:tmpl w:val="EF88E3D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1"/>
      <w:numFmt w:val="decimal"/>
      <w:lvlText w:val="%1.%2.%3."/>
      <w:lvlJc w:val="left"/>
      <w:pPr>
        <w:ind w:left="820" w:hanging="720"/>
        <w:jc w:val="right"/>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8" w15:restartNumberingAfterBreak="0">
    <w:nsid w:val="5A9663B8"/>
    <w:multiLevelType w:val="hybridMultilevel"/>
    <w:tmpl w:val="B84CDCEE"/>
    <w:lvl w:ilvl="0" w:tplc="0407000F">
      <w:start w:val="1"/>
      <w:numFmt w:val="decimal"/>
      <w:lvlText w:val="%1."/>
      <w:lvlJc w:val="left"/>
      <w:pPr>
        <w:ind w:left="1776" w:hanging="360"/>
      </w:pPr>
    </w:lvl>
    <w:lvl w:ilvl="1" w:tplc="04070019" w:tentative="1">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29" w15:restartNumberingAfterBreak="0">
    <w:nsid w:val="5AF12ABF"/>
    <w:multiLevelType w:val="hybridMultilevel"/>
    <w:tmpl w:val="49B8ABE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C8E730B"/>
    <w:multiLevelType w:val="hybridMultilevel"/>
    <w:tmpl w:val="97EA7ACC"/>
    <w:lvl w:ilvl="0" w:tplc="75769106">
      <w:start w:val="1"/>
      <w:numFmt w:val="bullet"/>
      <w:lvlText w:val=""/>
      <w:lvlJc w:val="left"/>
      <w:pPr>
        <w:ind w:left="1736" w:hanging="360"/>
      </w:pPr>
      <w:rPr>
        <w:rFonts w:ascii="Symbol" w:eastAsia="Symbol" w:hAnsi="Symbol" w:hint="default"/>
        <w:sz w:val="18"/>
        <w:szCs w:val="18"/>
      </w:rPr>
    </w:lvl>
    <w:lvl w:ilvl="1" w:tplc="210AF9F4">
      <w:start w:val="1"/>
      <w:numFmt w:val="bullet"/>
      <w:lvlText w:val="•"/>
      <w:lvlJc w:val="left"/>
      <w:pPr>
        <w:ind w:left="2487" w:hanging="360"/>
      </w:pPr>
      <w:rPr>
        <w:rFonts w:hint="default"/>
      </w:rPr>
    </w:lvl>
    <w:lvl w:ilvl="2" w:tplc="C450D00C">
      <w:start w:val="1"/>
      <w:numFmt w:val="bullet"/>
      <w:lvlText w:val="•"/>
      <w:lvlJc w:val="left"/>
      <w:pPr>
        <w:ind w:left="3238" w:hanging="360"/>
      </w:pPr>
      <w:rPr>
        <w:rFonts w:hint="default"/>
      </w:rPr>
    </w:lvl>
    <w:lvl w:ilvl="3" w:tplc="1916C4E8">
      <w:start w:val="1"/>
      <w:numFmt w:val="bullet"/>
      <w:lvlText w:val="•"/>
      <w:lvlJc w:val="left"/>
      <w:pPr>
        <w:ind w:left="3989" w:hanging="360"/>
      </w:pPr>
      <w:rPr>
        <w:rFonts w:hint="default"/>
      </w:rPr>
    </w:lvl>
    <w:lvl w:ilvl="4" w:tplc="96665FD6">
      <w:start w:val="1"/>
      <w:numFmt w:val="bullet"/>
      <w:lvlText w:val="•"/>
      <w:lvlJc w:val="left"/>
      <w:pPr>
        <w:ind w:left="4740" w:hanging="360"/>
      </w:pPr>
      <w:rPr>
        <w:rFonts w:hint="default"/>
      </w:rPr>
    </w:lvl>
    <w:lvl w:ilvl="5" w:tplc="33AA46D0">
      <w:start w:val="1"/>
      <w:numFmt w:val="bullet"/>
      <w:lvlText w:val="•"/>
      <w:lvlJc w:val="left"/>
      <w:pPr>
        <w:ind w:left="5491" w:hanging="360"/>
      </w:pPr>
      <w:rPr>
        <w:rFonts w:hint="default"/>
      </w:rPr>
    </w:lvl>
    <w:lvl w:ilvl="6" w:tplc="2BB40CA0">
      <w:start w:val="1"/>
      <w:numFmt w:val="bullet"/>
      <w:lvlText w:val="•"/>
      <w:lvlJc w:val="left"/>
      <w:pPr>
        <w:ind w:left="6242" w:hanging="360"/>
      </w:pPr>
      <w:rPr>
        <w:rFonts w:hint="default"/>
      </w:rPr>
    </w:lvl>
    <w:lvl w:ilvl="7" w:tplc="BD44697A">
      <w:start w:val="1"/>
      <w:numFmt w:val="bullet"/>
      <w:lvlText w:val="•"/>
      <w:lvlJc w:val="left"/>
      <w:pPr>
        <w:ind w:left="6993" w:hanging="360"/>
      </w:pPr>
      <w:rPr>
        <w:rFonts w:hint="default"/>
      </w:rPr>
    </w:lvl>
    <w:lvl w:ilvl="8" w:tplc="D520EA8A">
      <w:start w:val="1"/>
      <w:numFmt w:val="bullet"/>
      <w:lvlText w:val="•"/>
      <w:lvlJc w:val="left"/>
      <w:pPr>
        <w:ind w:left="7744" w:hanging="360"/>
      </w:pPr>
      <w:rPr>
        <w:rFonts w:hint="default"/>
      </w:rPr>
    </w:lvl>
  </w:abstractNum>
  <w:abstractNum w:abstractNumId="31" w15:restartNumberingAfterBreak="0">
    <w:nsid w:val="5DCE694D"/>
    <w:multiLevelType w:val="hybridMultilevel"/>
    <w:tmpl w:val="8BCC71B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DD75D7B"/>
    <w:multiLevelType w:val="hybridMultilevel"/>
    <w:tmpl w:val="96F85456"/>
    <w:lvl w:ilvl="0" w:tplc="19F89D72">
      <w:start w:val="9"/>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3" w15:restartNumberingAfterBreak="0">
    <w:nsid w:val="5EA65169"/>
    <w:multiLevelType w:val="hybridMultilevel"/>
    <w:tmpl w:val="5ACCB93E"/>
    <w:lvl w:ilvl="0" w:tplc="0407000F">
      <w:start w:val="1"/>
      <w:numFmt w:val="decimal"/>
      <w:lvlText w:val="%1."/>
      <w:lvlJc w:val="left"/>
      <w:pPr>
        <w:ind w:left="1776" w:hanging="360"/>
      </w:pPr>
    </w:lvl>
    <w:lvl w:ilvl="1" w:tplc="04070019">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34" w15:restartNumberingAfterBreak="0">
    <w:nsid w:val="5FCF5EA1"/>
    <w:multiLevelType w:val="hybridMultilevel"/>
    <w:tmpl w:val="9A0AD7FC"/>
    <w:lvl w:ilvl="0" w:tplc="0809000F">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5" w15:restartNumberingAfterBreak="0">
    <w:nsid w:val="62BA4142"/>
    <w:multiLevelType w:val="hybridMultilevel"/>
    <w:tmpl w:val="7C6CDB0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4486D30"/>
    <w:multiLevelType w:val="hybridMultilevel"/>
    <w:tmpl w:val="4202DBFC"/>
    <w:lvl w:ilvl="0" w:tplc="0D5867B8">
      <w:start w:val="1"/>
      <w:numFmt w:val="decimal"/>
      <w:lvlText w:val="%1."/>
      <w:lvlJc w:val="left"/>
      <w:pPr>
        <w:ind w:left="1922" w:hanging="850"/>
      </w:pPr>
      <w:rPr>
        <w:rFonts w:ascii="Verdana" w:eastAsia="Verdana" w:hAnsi="Verdana" w:hint="default"/>
        <w:sz w:val="18"/>
        <w:szCs w:val="18"/>
      </w:r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37"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9" w15:restartNumberingAfterBreak="0">
    <w:nsid w:val="6D005CAE"/>
    <w:multiLevelType w:val="hybridMultilevel"/>
    <w:tmpl w:val="A97A6260"/>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40" w15:restartNumberingAfterBreak="0">
    <w:nsid w:val="6F740B9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41" w15:restartNumberingAfterBreak="0">
    <w:nsid w:val="706650CF"/>
    <w:multiLevelType w:val="hybridMultilevel"/>
    <w:tmpl w:val="C074CA58"/>
    <w:lvl w:ilvl="0" w:tplc="0AF0D4D0">
      <w:start w:val="1"/>
      <w:numFmt w:val="bullet"/>
      <w:lvlText w:val="-"/>
      <w:lvlJc w:val="left"/>
      <w:pPr>
        <w:ind w:left="822" w:hanging="360"/>
      </w:pPr>
      <w:rPr>
        <w:rFonts w:ascii="Calibri" w:eastAsia="Calibri" w:hAnsi="Calibri" w:hint="default"/>
        <w:sz w:val="18"/>
        <w:szCs w:val="18"/>
      </w:rPr>
    </w:lvl>
    <w:lvl w:ilvl="1" w:tplc="AE20B0DC">
      <w:start w:val="1"/>
      <w:numFmt w:val="bullet"/>
      <w:lvlText w:val="•"/>
      <w:lvlJc w:val="left"/>
      <w:pPr>
        <w:ind w:left="1524" w:hanging="360"/>
      </w:pPr>
      <w:rPr>
        <w:rFonts w:hint="default"/>
      </w:rPr>
    </w:lvl>
    <w:lvl w:ilvl="2" w:tplc="805023E2">
      <w:start w:val="1"/>
      <w:numFmt w:val="bullet"/>
      <w:lvlText w:val="•"/>
      <w:lvlJc w:val="left"/>
      <w:pPr>
        <w:ind w:left="2226" w:hanging="360"/>
      </w:pPr>
      <w:rPr>
        <w:rFonts w:hint="default"/>
      </w:rPr>
    </w:lvl>
    <w:lvl w:ilvl="3" w:tplc="1E10A576">
      <w:start w:val="1"/>
      <w:numFmt w:val="bullet"/>
      <w:lvlText w:val="•"/>
      <w:lvlJc w:val="left"/>
      <w:pPr>
        <w:ind w:left="2929" w:hanging="360"/>
      </w:pPr>
      <w:rPr>
        <w:rFonts w:hint="default"/>
      </w:rPr>
    </w:lvl>
    <w:lvl w:ilvl="4" w:tplc="41E44D0C">
      <w:start w:val="1"/>
      <w:numFmt w:val="bullet"/>
      <w:lvlText w:val="•"/>
      <w:lvlJc w:val="left"/>
      <w:pPr>
        <w:ind w:left="3631" w:hanging="360"/>
      </w:pPr>
      <w:rPr>
        <w:rFonts w:hint="default"/>
      </w:rPr>
    </w:lvl>
    <w:lvl w:ilvl="5" w:tplc="564407D0">
      <w:start w:val="1"/>
      <w:numFmt w:val="bullet"/>
      <w:lvlText w:val="•"/>
      <w:lvlJc w:val="left"/>
      <w:pPr>
        <w:ind w:left="4334" w:hanging="360"/>
      </w:pPr>
      <w:rPr>
        <w:rFonts w:hint="default"/>
      </w:rPr>
    </w:lvl>
    <w:lvl w:ilvl="6" w:tplc="F78EA83E">
      <w:start w:val="1"/>
      <w:numFmt w:val="bullet"/>
      <w:lvlText w:val="•"/>
      <w:lvlJc w:val="left"/>
      <w:pPr>
        <w:ind w:left="5036" w:hanging="360"/>
      </w:pPr>
      <w:rPr>
        <w:rFonts w:hint="default"/>
      </w:rPr>
    </w:lvl>
    <w:lvl w:ilvl="7" w:tplc="C736EC8C">
      <w:start w:val="1"/>
      <w:numFmt w:val="bullet"/>
      <w:lvlText w:val="•"/>
      <w:lvlJc w:val="left"/>
      <w:pPr>
        <w:ind w:left="5738" w:hanging="360"/>
      </w:pPr>
      <w:rPr>
        <w:rFonts w:hint="default"/>
      </w:rPr>
    </w:lvl>
    <w:lvl w:ilvl="8" w:tplc="4F0CE39C">
      <w:start w:val="1"/>
      <w:numFmt w:val="bullet"/>
      <w:lvlText w:val="•"/>
      <w:lvlJc w:val="left"/>
      <w:pPr>
        <w:ind w:left="6441" w:hanging="360"/>
      </w:pPr>
      <w:rPr>
        <w:rFonts w:hint="default"/>
      </w:rPr>
    </w:lvl>
  </w:abstractNum>
  <w:abstractNum w:abstractNumId="42" w15:restartNumberingAfterBreak="0">
    <w:nsid w:val="715E67DD"/>
    <w:multiLevelType w:val="multilevel"/>
    <w:tmpl w:val="75A013F4"/>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2"/>
      <w:numFmt w:val="decimal"/>
      <w:lvlText w:val="%1.%2.%3"/>
      <w:lvlJc w:val="left"/>
      <w:pPr>
        <w:ind w:left="819" w:hanging="718"/>
      </w:pPr>
      <w:rPr>
        <w:rFonts w:hint="default"/>
      </w:rPr>
    </w:lvl>
    <w:lvl w:ilvl="3">
      <w:start w:val="1"/>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3" w15:restartNumberingAfterBreak="0">
    <w:nsid w:val="72CA7DE1"/>
    <w:multiLevelType w:val="hybridMultilevel"/>
    <w:tmpl w:val="E88C05F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CD53EF1"/>
    <w:multiLevelType w:val="multilevel"/>
    <w:tmpl w:val="CD6657E2"/>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3"/>
      <w:numFmt w:val="decimal"/>
      <w:lvlText w:val="%1.%2.%3"/>
      <w:lvlJc w:val="left"/>
      <w:pPr>
        <w:ind w:left="819" w:hanging="718"/>
      </w:pPr>
      <w:rPr>
        <w:rFonts w:hint="default"/>
      </w:rPr>
    </w:lvl>
    <w:lvl w:ilvl="3">
      <w:start w:val="2"/>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5" w15:restartNumberingAfterBreak="0">
    <w:nsid w:val="7E815FDA"/>
    <w:multiLevelType w:val="hybridMultilevel"/>
    <w:tmpl w:val="DEC603A6"/>
    <w:lvl w:ilvl="0" w:tplc="08090005">
      <w:start w:val="1"/>
      <w:numFmt w:val="bullet"/>
      <w:lvlText w:val=""/>
      <w:lvlJc w:val="left"/>
      <w:pPr>
        <w:ind w:left="748" w:hanging="360"/>
      </w:pPr>
      <w:rPr>
        <w:rFonts w:ascii="Wingdings" w:hAnsi="Wingdings" w:hint="default"/>
      </w:rPr>
    </w:lvl>
    <w:lvl w:ilvl="1" w:tplc="08090003" w:tentative="1">
      <w:start w:val="1"/>
      <w:numFmt w:val="bullet"/>
      <w:lvlText w:val="o"/>
      <w:lvlJc w:val="left"/>
      <w:pPr>
        <w:ind w:left="1468" w:hanging="360"/>
      </w:pPr>
      <w:rPr>
        <w:rFonts w:ascii="Courier New" w:hAnsi="Courier New" w:cs="Courier New" w:hint="default"/>
      </w:rPr>
    </w:lvl>
    <w:lvl w:ilvl="2" w:tplc="08090005" w:tentative="1">
      <w:start w:val="1"/>
      <w:numFmt w:val="bullet"/>
      <w:lvlText w:val=""/>
      <w:lvlJc w:val="left"/>
      <w:pPr>
        <w:ind w:left="2188" w:hanging="360"/>
      </w:pPr>
      <w:rPr>
        <w:rFonts w:ascii="Wingdings" w:hAnsi="Wingdings" w:hint="default"/>
      </w:rPr>
    </w:lvl>
    <w:lvl w:ilvl="3" w:tplc="08090001" w:tentative="1">
      <w:start w:val="1"/>
      <w:numFmt w:val="bullet"/>
      <w:lvlText w:val=""/>
      <w:lvlJc w:val="left"/>
      <w:pPr>
        <w:ind w:left="2908" w:hanging="360"/>
      </w:pPr>
      <w:rPr>
        <w:rFonts w:ascii="Symbol" w:hAnsi="Symbol" w:hint="default"/>
      </w:rPr>
    </w:lvl>
    <w:lvl w:ilvl="4" w:tplc="08090003" w:tentative="1">
      <w:start w:val="1"/>
      <w:numFmt w:val="bullet"/>
      <w:lvlText w:val="o"/>
      <w:lvlJc w:val="left"/>
      <w:pPr>
        <w:ind w:left="3628" w:hanging="360"/>
      </w:pPr>
      <w:rPr>
        <w:rFonts w:ascii="Courier New" w:hAnsi="Courier New" w:cs="Courier New" w:hint="default"/>
      </w:rPr>
    </w:lvl>
    <w:lvl w:ilvl="5" w:tplc="08090005" w:tentative="1">
      <w:start w:val="1"/>
      <w:numFmt w:val="bullet"/>
      <w:lvlText w:val=""/>
      <w:lvlJc w:val="left"/>
      <w:pPr>
        <w:ind w:left="4348" w:hanging="360"/>
      </w:pPr>
      <w:rPr>
        <w:rFonts w:ascii="Wingdings" w:hAnsi="Wingdings" w:hint="default"/>
      </w:rPr>
    </w:lvl>
    <w:lvl w:ilvl="6" w:tplc="08090001" w:tentative="1">
      <w:start w:val="1"/>
      <w:numFmt w:val="bullet"/>
      <w:lvlText w:val=""/>
      <w:lvlJc w:val="left"/>
      <w:pPr>
        <w:ind w:left="5068" w:hanging="360"/>
      </w:pPr>
      <w:rPr>
        <w:rFonts w:ascii="Symbol" w:hAnsi="Symbol" w:hint="default"/>
      </w:rPr>
    </w:lvl>
    <w:lvl w:ilvl="7" w:tplc="08090003" w:tentative="1">
      <w:start w:val="1"/>
      <w:numFmt w:val="bullet"/>
      <w:lvlText w:val="o"/>
      <w:lvlJc w:val="left"/>
      <w:pPr>
        <w:ind w:left="5788" w:hanging="360"/>
      </w:pPr>
      <w:rPr>
        <w:rFonts w:ascii="Courier New" w:hAnsi="Courier New" w:cs="Courier New" w:hint="default"/>
      </w:rPr>
    </w:lvl>
    <w:lvl w:ilvl="8" w:tplc="08090005" w:tentative="1">
      <w:start w:val="1"/>
      <w:numFmt w:val="bullet"/>
      <w:lvlText w:val=""/>
      <w:lvlJc w:val="left"/>
      <w:pPr>
        <w:ind w:left="6508" w:hanging="360"/>
      </w:pPr>
      <w:rPr>
        <w:rFonts w:ascii="Wingdings" w:hAnsi="Wingdings" w:hint="default"/>
      </w:rPr>
    </w:lvl>
  </w:abstractNum>
  <w:num w:numId="1" w16cid:durableId="1676300617">
    <w:abstractNumId w:val="38"/>
  </w:num>
  <w:num w:numId="2" w16cid:durableId="1090663884">
    <w:abstractNumId w:val="18"/>
  </w:num>
  <w:num w:numId="3" w16cid:durableId="1403259027">
    <w:abstractNumId w:val="37"/>
  </w:num>
  <w:num w:numId="4" w16cid:durableId="1574391556">
    <w:abstractNumId w:val="15"/>
  </w:num>
  <w:num w:numId="5" w16cid:durableId="1029065102">
    <w:abstractNumId w:val="11"/>
  </w:num>
  <w:num w:numId="6" w16cid:durableId="224492341">
    <w:abstractNumId w:val="14"/>
  </w:num>
  <w:num w:numId="7" w16cid:durableId="291253002">
    <w:abstractNumId w:val="41"/>
  </w:num>
  <w:num w:numId="8" w16cid:durableId="1468011581">
    <w:abstractNumId w:val="4"/>
  </w:num>
  <w:num w:numId="9" w16cid:durableId="2137602114">
    <w:abstractNumId w:val="21"/>
  </w:num>
  <w:num w:numId="10" w16cid:durableId="1900628367">
    <w:abstractNumId w:val="12"/>
  </w:num>
  <w:num w:numId="11" w16cid:durableId="1658530378">
    <w:abstractNumId w:val="42"/>
  </w:num>
  <w:num w:numId="12" w16cid:durableId="682588994">
    <w:abstractNumId w:val="44"/>
  </w:num>
  <w:num w:numId="13" w16cid:durableId="932783708">
    <w:abstractNumId w:val="30"/>
  </w:num>
  <w:num w:numId="14" w16cid:durableId="2077390283">
    <w:abstractNumId w:val="17"/>
  </w:num>
  <w:num w:numId="15" w16cid:durableId="526020706">
    <w:abstractNumId w:val="6"/>
  </w:num>
  <w:num w:numId="16" w16cid:durableId="1387602794">
    <w:abstractNumId w:val="7"/>
  </w:num>
  <w:num w:numId="17" w16cid:durableId="1744378432">
    <w:abstractNumId w:val="28"/>
  </w:num>
  <w:num w:numId="18" w16cid:durableId="1209025843">
    <w:abstractNumId w:val="33"/>
  </w:num>
  <w:num w:numId="19" w16cid:durableId="837886961">
    <w:abstractNumId w:val="29"/>
  </w:num>
  <w:num w:numId="20" w16cid:durableId="858851888">
    <w:abstractNumId w:val="27"/>
  </w:num>
  <w:num w:numId="21" w16cid:durableId="1784421708">
    <w:abstractNumId w:val="13"/>
  </w:num>
  <w:num w:numId="22" w16cid:durableId="1361737009">
    <w:abstractNumId w:val="8"/>
  </w:num>
  <w:num w:numId="23" w16cid:durableId="941567038">
    <w:abstractNumId w:val="39"/>
  </w:num>
  <w:num w:numId="24" w16cid:durableId="1341347528">
    <w:abstractNumId w:val="36"/>
  </w:num>
  <w:num w:numId="25" w16cid:durableId="1064837937">
    <w:abstractNumId w:val="1"/>
  </w:num>
  <w:num w:numId="26" w16cid:durableId="1766224144">
    <w:abstractNumId w:val="31"/>
  </w:num>
  <w:num w:numId="27" w16cid:durableId="1156415114">
    <w:abstractNumId w:val="35"/>
  </w:num>
  <w:num w:numId="28" w16cid:durableId="169420048">
    <w:abstractNumId w:val="0"/>
  </w:num>
  <w:num w:numId="29" w16cid:durableId="1421291689">
    <w:abstractNumId w:val="26"/>
  </w:num>
  <w:num w:numId="30" w16cid:durableId="139352577">
    <w:abstractNumId w:val="19"/>
  </w:num>
  <w:num w:numId="31" w16cid:durableId="1518235344">
    <w:abstractNumId w:val="25"/>
  </w:num>
  <w:num w:numId="32" w16cid:durableId="1192450927">
    <w:abstractNumId w:val="34"/>
    <w:lvlOverride w:ilvl="0">
      <w:startOverride w:val="1"/>
    </w:lvlOverride>
    <w:lvlOverride w:ilvl="1"/>
    <w:lvlOverride w:ilvl="2"/>
    <w:lvlOverride w:ilvl="3"/>
    <w:lvlOverride w:ilvl="4"/>
    <w:lvlOverride w:ilvl="5"/>
    <w:lvlOverride w:ilvl="6"/>
    <w:lvlOverride w:ilvl="7"/>
    <w:lvlOverride w:ilvl="8"/>
  </w:num>
  <w:num w:numId="33" w16cid:durableId="952977535">
    <w:abstractNumId w:val="18"/>
    <w:lvlOverride w:ilvl="0">
      <w:startOverride w:val="1"/>
    </w:lvlOverride>
  </w:num>
  <w:num w:numId="34" w16cid:durableId="868572336">
    <w:abstractNumId w:val="16"/>
  </w:num>
  <w:num w:numId="35" w16cid:durableId="1440177288">
    <w:abstractNumId w:val="23"/>
  </w:num>
  <w:num w:numId="36" w16cid:durableId="235362943">
    <w:abstractNumId w:val="43"/>
  </w:num>
  <w:num w:numId="37" w16cid:durableId="1528449310">
    <w:abstractNumId w:val="24"/>
  </w:num>
  <w:num w:numId="38" w16cid:durableId="1419058828">
    <w:abstractNumId w:val="2"/>
  </w:num>
  <w:num w:numId="39" w16cid:durableId="1883514132">
    <w:abstractNumId w:val="20"/>
  </w:num>
  <w:num w:numId="40" w16cid:durableId="390613950">
    <w:abstractNumId w:val="5"/>
  </w:num>
  <w:num w:numId="41" w16cid:durableId="1085110906">
    <w:abstractNumId w:val="3"/>
  </w:num>
  <w:num w:numId="42" w16cid:durableId="853542457">
    <w:abstractNumId w:val="9"/>
  </w:num>
  <w:num w:numId="43" w16cid:durableId="880633272">
    <w:abstractNumId w:val="40"/>
  </w:num>
  <w:num w:numId="44" w16cid:durableId="1340932454">
    <w:abstractNumId w:val="10"/>
  </w:num>
  <w:num w:numId="45" w16cid:durableId="2091652158">
    <w:abstractNumId w:val="32"/>
  </w:num>
  <w:num w:numId="46" w16cid:durableId="324212528">
    <w:abstractNumId w:val="45"/>
  </w:num>
  <w:num w:numId="47" w16cid:durableId="1965578084">
    <w:abstractNumId w:val="22"/>
  </w:num>
  <w:num w:numId="48" w16cid:durableId="1520124979">
    <w:abstractNumId w:val="18"/>
  </w:num>
  <w:num w:numId="49" w16cid:durableId="721290440">
    <w:abstractNumId w:val="38"/>
  </w:num>
  <w:num w:numId="50" w16cid:durableId="591476159">
    <w:abstractNumId w:val="38"/>
  </w:num>
  <w:num w:numId="51" w16cid:durableId="322465357">
    <w:abstractNumId w:val="38"/>
  </w:num>
  <w:num w:numId="52" w16cid:durableId="423377191">
    <w:abstractNumId w:val="38"/>
  </w:num>
  <w:num w:numId="53" w16cid:durableId="490603392">
    <w:abstractNumId w:val="38"/>
  </w:num>
  <w:num w:numId="54" w16cid:durableId="97218657">
    <w:abstractNumId w:val="38"/>
  </w:num>
  <w:num w:numId="55" w16cid:durableId="672689450">
    <w:abstractNumId w:val="38"/>
  </w:num>
  <w:num w:numId="56" w16cid:durableId="1845895429">
    <w:abstractNumId w:val="38"/>
  </w:num>
  <w:num w:numId="57" w16cid:durableId="1842499345">
    <w:abstractNumId w:val="38"/>
  </w:num>
  <w:num w:numId="58" w16cid:durableId="1769614358">
    <w:abstractNumId w:val="18"/>
  </w:num>
  <w:num w:numId="59" w16cid:durableId="2030518925">
    <w:abstractNumId w:val="18"/>
  </w:num>
  <w:num w:numId="60" w16cid:durableId="1994336663">
    <w:abstractNumId w:val="18"/>
  </w:num>
  <w:num w:numId="61" w16cid:durableId="1437401987">
    <w:abstractNumId w:val="18"/>
  </w:num>
  <w:num w:numId="62" w16cid:durableId="1873689650">
    <w:abstractNumId w:val="18"/>
  </w:num>
  <w:num w:numId="63" w16cid:durableId="448863579">
    <w:abstractNumId w:val="18"/>
  </w:num>
  <w:num w:numId="64" w16cid:durableId="1070152844">
    <w:abstractNumId w:val="18"/>
  </w:num>
  <w:num w:numId="65" w16cid:durableId="1079864936">
    <w:abstractNumId w:val="18"/>
  </w:num>
  <w:num w:numId="66" w16cid:durableId="231236326">
    <w:abstractNumId w:val="18"/>
  </w:num>
  <w:num w:numId="67" w16cid:durableId="408621965">
    <w:abstractNumId w:val="18"/>
  </w:num>
  <w:num w:numId="68" w16cid:durableId="1545217578">
    <w:abstractNumId w:val="18"/>
  </w:num>
  <w:num w:numId="69" w16cid:durableId="89397930">
    <w:abstractNumId w:val="18"/>
  </w:num>
  <w:num w:numId="70" w16cid:durableId="348027322">
    <w:abstractNumId w:val="18"/>
  </w:num>
  <w:num w:numId="71" w16cid:durableId="1549292594">
    <w:abstractNumId w:val="18"/>
  </w:num>
  <w:num w:numId="72" w16cid:durableId="1654020528">
    <w:abstractNumId w:val="18"/>
  </w:num>
  <w:num w:numId="73" w16cid:durableId="1471284336">
    <w:abstractNumId w:val="18"/>
  </w:num>
  <w:num w:numId="74" w16cid:durableId="2103911612">
    <w:abstractNumId w:val="18"/>
  </w:num>
  <w:num w:numId="75" w16cid:durableId="1468355795">
    <w:abstractNumId w:val="18"/>
  </w:num>
  <w:num w:numId="76" w16cid:durableId="652608446">
    <w:abstractNumId w:val="18"/>
  </w:num>
  <w:num w:numId="77" w16cid:durableId="1156531260">
    <w:abstractNumId w:val="18"/>
  </w:num>
  <w:num w:numId="78" w16cid:durableId="1207371833">
    <w:abstractNumId w:val="18"/>
  </w:num>
  <w:num w:numId="79" w16cid:durableId="302850759">
    <w:abstractNumId w:val="18"/>
  </w:num>
  <w:num w:numId="80" w16cid:durableId="2133863724">
    <w:abstractNumId w:val="18"/>
  </w:num>
  <w:num w:numId="81" w16cid:durableId="765149658">
    <w:abstractNumId w:val="18"/>
  </w:num>
  <w:num w:numId="82" w16cid:durableId="1746688001">
    <w:abstractNumId w:val="18"/>
  </w:num>
  <w:num w:numId="83" w16cid:durableId="822157440">
    <w:abstractNumId w:val="18"/>
  </w:num>
  <w:num w:numId="84" w16cid:durableId="2107841670">
    <w:abstractNumId w:val="18"/>
  </w:num>
  <w:num w:numId="85" w16cid:durableId="1043404673">
    <w:abstractNumId w:val="18"/>
  </w:num>
  <w:num w:numId="86" w16cid:durableId="1589121051">
    <w:abstractNumId w:val="18"/>
  </w:num>
  <w:num w:numId="87" w16cid:durableId="1385981248">
    <w:abstractNumId w:val="18"/>
  </w:num>
  <w:num w:numId="88" w16cid:durableId="1539783989">
    <w:abstractNumId w:val="18"/>
  </w:num>
  <w:num w:numId="89" w16cid:durableId="669914065">
    <w:abstractNumId w:val="18"/>
  </w:num>
  <w:num w:numId="90" w16cid:durableId="253053532">
    <w:abstractNumId w:val="18"/>
  </w:num>
  <w:num w:numId="91" w16cid:durableId="985860913">
    <w:abstractNumId w:val="18"/>
  </w:num>
  <w:num w:numId="92" w16cid:durableId="1433084662">
    <w:abstractNumId w:val="18"/>
  </w:num>
  <w:num w:numId="93" w16cid:durableId="1451893323">
    <w:abstractNumId w:val="18"/>
  </w:num>
  <w:num w:numId="94" w16cid:durableId="1535999293">
    <w:abstractNumId w:val="18"/>
  </w:num>
  <w:num w:numId="95" w16cid:durableId="720908940">
    <w:abstractNumId w:val="18"/>
  </w:num>
  <w:num w:numId="96" w16cid:durableId="347633745">
    <w:abstractNumId w:val="18"/>
  </w:num>
  <w:num w:numId="97" w16cid:durableId="1900750756">
    <w:abstractNumId w:val="18"/>
  </w:num>
  <w:num w:numId="98" w16cid:durableId="1317489877">
    <w:abstractNumId w:val="18"/>
  </w:num>
  <w:num w:numId="99" w16cid:durableId="832379850">
    <w:abstractNumId w:val="18"/>
  </w:num>
  <w:num w:numId="100" w16cid:durableId="1101073080">
    <w:abstractNumId w:val="18"/>
  </w:num>
  <w:num w:numId="101" w16cid:durableId="224684589">
    <w:abstractNumId w:val="18"/>
  </w:num>
  <w:num w:numId="102" w16cid:durableId="956789437">
    <w:abstractNumId w:val="18"/>
  </w:num>
  <w:num w:numId="103" w16cid:durableId="364909789">
    <w:abstractNumId w:val="18"/>
  </w:num>
  <w:num w:numId="104" w16cid:durableId="161049608">
    <w:abstractNumId w:val="18"/>
    <w:lvlOverride w:ilvl="0">
      <w:startOverride w:val="1"/>
    </w:lvlOverride>
  </w:num>
  <w:num w:numId="105" w16cid:durableId="1076516651">
    <w:abstractNumId w:val="38"/>
  </w:num>
  <w:num w:numId="106" w16cid:durableId="395511516">
    <w:abstractNumId w:val="38"/>
  </w:num>
  <w:num w:numId="107" w16cid:durableId="1499232450">
    <w:abstractNumId w:val="38"/>
  </w:num>
  <w:num w:numId="108" w16cid:durableId="170146262">
    <w:abstractNumId w:val="38"/>
  </w:num>
  <w:num w:numId="109" w16cid:durableId="1950500788">
    <w:abstractNumId w:val="38"/>
  </w:num>
  <w:num w:numId="110" w16cid:durableId="60175871">
    <w:abstractNumId w:val="38"/>
  </w:num>
  <w:num w:numId="111" w16cid:durableId="1686712300">
    <w:abstractNumId w:val="38"/>
  </w:num>
  <w:num w:numId="112" w16cid:durableId="277417081">
    <w:abstractNumId w:val="38"/>
  </w:num>
  <w:num w:numId="113" w16cid:durableId="1892500749">
    <w:abstractNumId w:val="18"/>
    <w:lvlOverride w:ilvl="0">
      <w:startOverride w:val="1"/>
    </w:lvlOverride>
  </w:num>
  <w:num w:numId="114" w16cid:durableId="1310596676">
    <w:abstractNumId w:val="18"/>
    <w:lvlOverride w:ilvl="0">
      <w:startOverride w:val="1"/>
    </w:lvlOverride>
  </w:num>
  <w:num w:numId="115" w16cid:durableId="1563978596">
    <w:abstractNumId w:val="18"/>
    <w:lvlOverride w:ilvl="0">
      <w:startOverride w:val="1"/>
    </w:lvlOverride>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grammar="clean"/>
  <w:defaultTabStop w:val="720"/>
  <w:characterSpacingControl w:val="doNotCompress"/>
  <w:hdrShapeDefaults>
    <o:shapedefaults v:ext="edit" spidmax="604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6E48EA"/>
    <w:rsid w:val="000009D0"/>
    <w:rsid w:val="00001E75"/>
    <w:rsid w:val="00002330"/>
    <w:rsid w:val="00002918"/>
    <w:rsid w:val="00003323"/>
    <w:rsid w:val="00003EE4"/>
    <w:rsid w:val="00006FDE"/>
    <w:rsid w:val="00007545"/>
    <w:rsid w:val="00011447"/>
    <w:rsid w:val="00013370"/>
    <w:rsid w:val="00014392"/>
    <w:rsid w:val="000146C3"/>
    <w:rsid w:val="00015741"/>
    <w:rsid w:val="00017710"/>
    <w:rsid w:val="000203A8"/>
    <w:rsid w:val="00020F19"/>
    <w:rsid w:val="00021303"/>
    <w:rsid w:val="00021A67"/>
    <w:rsid w:val="000269EA"/>
    <w:rsid w:val="00032AC7"/>
    <w:rsid w:val="000348FF"/>
    <w:rsid w:val="0003610B"/>
    <w:rsid w:val="00036812"/>
    <w:rsid w:val="0003683B"/>
    <w:rsid w:val="000378A5"/>
    <w:rsid w:val="0004119A"/>
    <w:rsid w:val="00042921"/>
    <w:rsid w:val="00045026"/>
    <w:rsid w:val="0005031C"/>
    <w:rsid w:val="00050E1E"/>
    <w:rsid w:val="00053317"/>
    <w:rsid w:val="00054044"/>
    <w:rsid w:val="000546C2"/>
    <w:rsid w:val="00060D36"/>
    <w:rsid w:val="00060E30"/>
    <w:rsid w:val="00061F75"/>
    <w:rsid w:val="00065680"/>
    <w:rsid w:val="00065977"/>
    <w:rsid w:val="00065B12"/>
    <w:rsid w:val="00071364"/>
    <w:rsid w:val="0007323F"/>
    <w:rsid w:val="00073725"/>
    <w:rsid w:val="00073D5C"/>
    <w:rsid w:val="000761EA"/>
    <w:rsid w:val="0008176F"/>
    <w:rsid w:val="000818F4"/>
    <w:rsid w:val="00081C7A"/>
    <w:rsid w:val="0008521F"/>
    <w:rsid w:val="00085F5B"/>
    <w:rsid w:val="00092BE3"/>
    <w:rsid w:val="00093661"/>
    <w:rsid w:val="00097E78"/>
    <w:rsid w:val="000A281E"/>
    <w:rsid w:val="000A4DE8"/>
    <w:rsid w:val="000A6F94"/>
    <w:rsid w:val="000A70AE"/>
    <w:rsid w:val="000B3537"/>
    <w:rsid w:val="000B46EE"/>
    <w:rsid w:val="000B5A28"/>
    <w:rsid w:val="000B5CB9"/>
    <w:rsid w:val="000B6114"/>
    <w:rsid w:val="000B6B22"/>
    <w:rsid w:val="000B767B"/>
    <w:rsid w:val="000B7AD9"/>
    <w:rsid w:val="000C3837"/>
    <w:rsid w:val="000D04E1"/>
    <w:rsid w:val="000D057E"/>
    <w:rsid w:val="000D1336"/>
    <w:rsid w:val="000D2FCD"/>
    <w:rsid w:val="000D33EA"/>
    <w:rsid w:val="000D503F"/>
    <w:rsid w:val="000D7985"/>
    <w:rsid w:val="000E040A"/>
    <w:rsid w:val="000E4466"/>
    <w:rsid w:val="000E59C5"/>
    <w:rsid w:val="000F154D"/>
    <w:rsid w:val="000F16AB"/>
    <w:rsid w:val="000F220A"/>
    <w:rsid w:val="000F32F6"/>
    <w:rsid w:val="00101C85"/>
    <w:rsid w:val="001034DA"/>
    <w:rsid w:val="00104F31"/>
    <w:rsid w:val="001065D2"/>
    <w:rsid w:val="00106638"/>
    <w:rsid w:val="00106CCD"/>
    <w:rsid w:val="00106FD2"/>
    <w:rsid w:val="00111142"/>
    <w:rsid w:val="0011276D"/>
    <w:rsid w:val="001128AA"/>
    <w:rsid w:val="00112D86"/>
    <w:rsid w:val="001135EC"/>
    <w:rsid w:val="0011588D"/>
    <w:rsid w:val="00121B71"/>
    <w:rsid w:val="00125753"/>
    <w:rsid w:val="00127A6C"/>
    <w:rsid w:val="00141DB0"/>
    <w:rsid w:val="00142194"/>
    <w:rsid w:val="001424DE"/>
    <w:rsid w:val="001456E6"/>
    <w:rsid w:val="00147C46"/>
    <w:rsid w:val="00147E72"/>
    <w:rsid w:val="00150D9B"/>
    <w:rsid w:val="00150EE6"/>
    <w:rsid w:val="00152ABB"/>
    <w:rsid w:val="00152ADF"/>
    <w:rsid w:val="00153508"/>
    <w:rsid w:val="00154ECE"/>
    <w:rsid w:val="00155567"/>
    <w:rsid w:val="00155DEF"/>
    <w:rsid w:val="00156C20"/>
    <w:rsid w:val="001610DF"/>
    <w:rsid w:val="001618CB"/>
    <w:rsid w:val="0016264F"/>
    <w:rsid w:val="001628B5"/>
    <w:rsid w:val="001631B5"/>
    <w:rsid w:val="0016574C"/>
    <w:rsid w:val="00170434"/>
    <w:rsid w:val="001704EE"/>
    <w:rsid w:val="00174660"/>
    <w:rsid w:val="00176895"/>
    <w:rsid w:val="00176F96"/>
    <w:rsid w:val="00177DC5"/>
    <w:rsid w:val="00181958"/>
    <w:rsid w:val="00183AE0"/>
    <w:rsid w:val="00186016"/>
    <w:rsid w:val="001869F1"/>
    <w:rsid w:val="0018764A"/>
    <w:rsid w:val="0019059C"/>
    <w:rsid w:val="001921D8"/>
    <w:rsid w:val="001922E6"/>
    <w:rsid w:val="00192DF0"/>
    <w:rsid w:val="001977F5"/>
    <w:rsid w:val="00197B28"/>
    <w:rsid w:val="001A1722"/>
    <w:rsid w:val="001A331C"/>
    <w:rsid w:val="001A4BC9"/>
    <w:rsid w:val="001A58F5"/>
    <w:rsid w:val="001A6AD9"/>
    <w:rsid w:val="001A7B9B"/>
    <w:rsid w:val="001B0014"/>
    <w:rsid w:val="001B2B12"/>
    <w:rsid w:val="001B3F25"/>
    <w:rsid w:val="001B5CC0"/>
    <w:rsid w:val="001C000E"/>
    <w:rsid w:val="001C15A9"/>
    <w:rsid w:val="001C1B82"/>
    <w:rsid w:val="001C38E9"/>
    <w:rsid w:val="001C5A01"/>
    <w:rsid w:val="001C639D"/>
    <w:rsid w:val="001D22D5"/>
    <w:rsid w:val="001D5657"/>
    <w:rsid w:val="001D6664"/>
    <w:rsid w:val="001E19A7"/>
    <w:rsid w:val="001E2264"/>
    <w:rsid w:val="001E3F9C"/>
    <w:rsid w:val="001E5125"/>
    <w:rsid w:val="001F6DBD"/>
    <w:rsid w:val="00203D97"/>
    <w:rsid w:val="00204156"/>
    <w:rsid w:val="00204E8B"/>
    <w:rsid w:val="002072FA"/>
    <w:rsid w:val="0021188D"/>
    <w:rsid w:val="002160DD"/>
    <w:rsid w:val="002219C9"/>
    <w:rsid w:val="00221C50"/>
    <w:rsid w:val="00223992"/>
    <w:rsid w:val="00224086"/>
    <w:rsid w:val="002252E2"/>
    <w:rsid w:val="002322DF"/>
    <w:rsid w:val="00232FF7"/>
    <w:rsid w:val="00235044"/>
    <w:rsid w:val="002351DE"/>
    <w:rsid w:val="002352E7"/>
    <w:rsid w:val="00236D21"/>
    <w:rsid w:val="00237E2A"/>
    <w:rsid w:val="00242C3F"/>
    <w:rsid w:val="00244712"/>
    <w:rsid w:val="0024704A"/>
    <w:rsid w:val="00247852"/>
    <w:rsid w:val="00252579"/>
    <w:rsid w:val="00254638"/>
    <w:rsid w:val="0026098F"/>
    <w:rsid w:val="00264073"/>
    <w:rsid w:val="00267206"/>
    <w:rsid w:val="00277117"/>
    <w:rsid w:val="00283809"/>
    <w:rsid w:val="002857F5"/>
    <w:rsid w:val="00293C9B"/>
    <w:rsid w:val="00297DDC"/>
    <w:rsid w:val="002A0CEA"/>
    <w:rsid w:val="002A1DC6"/>
    <w:rsid w:val="002A3925"/>
    <w:rsid w:val="002A49FF"/>
    <w:rsid w:val="002A500B"/>
    <w:rsid w:val="002A559F"/>
    <w:rsid w:val="002A575B"/>
    <w:rsid w:val="002A6587"/>
    <w:rsid w:val="002A7BB0"/>
    <w:rsid w:val="002B09BC"/>
    <w:rsid w:val="002B1DA1"/>
    <w:rsid w:val="002B1E5D"/>
    <w:rsid w:val="002B4465"/>
    <w:rsid w:val="002B73CC"/>
    <w:rsid w:val="002C2AD3"/>
    <w:rsid w:val="002C7E80"/>
    <w:rsid w:val="002D10C3"/>
    <w:rsid w:val="002D60C2"/>
    <w:rsid w:val="002D7737"/>
    <w:rsid w:val="002E3204"/>
    <w:rsid w:val="002E364C"/>
    <w:rsid w:val="002E3FB0"/>
    <w:rsid w:val="002E4784"/>
    <w:rsid w:val="002E6B84"/>
    <w:rsid w:val="002F0126"/>
    <w:rsid w:val="002F1BE2"/>
    <w:rsid w:val="002F29EB"/>
    <w:rsid w:val="002F6A7B"/>
    <w:rsid w:val="00301219"/>
    <w:rsid w:val="00303201"/>
    <w:rsid w:val="00306199"/>
    <w:rsid w:val="003063B8"/>
    <w:rsid w:val="00312695"/>
    <w:rsid w:val="00313649"/>
    <w:rsid w:val="00314AE4"/>
    <w:rsid w:val="00316094"/>
    <w:rsid w:val="003211F6"/>
    <w:rsid w:val="00322A40"/>
    <w:rsid w:val="00323769"/>
    <w:rsid w:val="0032671D"/>
    <w:rsid w:val="0032688F"/>
    <w:rsid w:val="00327A13"/>
    <w:rsid w:val="0033279C"/>
    <w:rsid w:val="00335466"/>
    <w:rsid w:val="00335BF6"/>
    <w:rsid w:val="00336282"/>
    <w:rsid w:val="003362A3"/>
    <w:rsid w:val="00336DC1"/>
    <w:rsid w:val="00342F43"/>
    <w:rsid w:val="003432DC"/>
    <w:rsid w:val="00347B19"/>
    <w:rsid w:val="0035169D"/>
    <w:rsid w:val="00351FD8"/>
    <w:rsid w:val="00352B90"/>
    <w:rsid w:val="003604E2"/>
    <w:rsid w:val="003625A3"/>
    <w:rsid w:val="003626D1"/>
    <w:rsid w:val="00362EA9"/>
    <w:rsid w:val="00363E4B"/>
    <w:rsid w:val="003657A5"/>
    <w:rsid w:val="00365E25"/>
    <w:rsid w:val="0036777A"/>
    <w:rsid w:val="003716A9"/>
    <w:rsid w:val="003719B4"/>
    <w:rsid w:val="00373F2C"/>
    <w:rsid w:val="00375786"/>
    <w:rsid w:val="00380973"/>
    <w:rsid w:val="00382040"/>
    <w:rsid w:val="003820CE"/>
    <w:rsid w:val="00384229"/>
    <w:rsid w:val="0039321F"/>
    <w:rsid w:val="003A0CE1"/>
    <w:rsid w:val="003A2FBA"/>
    <w:rsid w:val="003A3370"/>
    <w:rsid w:val="003A4AA3"/>
    <w:rsid w:val="003A56CC"/>
    <w:rsid w:val="003B3436"/>
    <w:rsid w:val="003B54CB"/>
    <w:rsid w:val="003B64AF"/>
    <w:rsid w:val="003B7946"/>
    <w:rsid w:val="003B7F4E"/>
    <w:rsid w:val="003C17A1"/>
    <w:rsid w:val="003C23E9"/>
    <w:rsid w:val="003C27A9"/>
    <w:rsid w:val="003C46D0"/>
    <w:rsid w:val="003C47A3"/>
    <w:rsid w:val="003C50CD"/>
    <w:rsid w:val="003C556B"/>
    <w:rsid w:val="003C5DCB"/>
    <w:rsid w:val="003C6A18"/>
    <w:rsid w:val="003D2A6F"/>
    <w:rsid w:val="003D3DC9"/>
    <w:rsid w:val="003D627C"/>
    <w:rsid w:val="003E0BBC"/>
    <w:rsid w:val="003E3080"/>
    <w:rsid w:val="003E6559"/>
    <w:rsid w:val="003E7830"/>
    <w:rsid w:val="003F00DC"/>
    <w:rsid w:val="003F3893"/>
    <w:rsid w:val="003F5259"/>
    <w:rsid w:val="004003F5"/>
    <w:rsid w:val="00402068"/>
    <w:rsid w:val="00402D60"/>
    <w:rsid w:val="0040330F"/>
    <w:rsid w:val="004053D1"/>
    <w:rsid w:val="0040713D"/>
    <w:rsid w:val="0040759C"/>
    <w:rsid w:val="00410DD6"/>
    <w:rsid w:val="004127AC"/>
    <w:rsid w:val="00412AFB"/>
    <w:rsid w:val="0041502D"/>
    <w:rsid w:val="00415B74"/>
    <w:rsid w:val="00431B89"/>
    <w:rsid w:val="00431EBC"/>
    <w:rsid w:val="004341C6"/>
    <w:rsid w:val="00434521"/>
    <w:rsid w:val="00434B7B"/>
    <w:rsid w:val="00436A29"/>
    <w:rsid w:val="00441BC5"/>
    <w:rsid w:val="0044368C"/>
    <w:rsid w:val="00444D71"/>
    <w:rsid w:val="00445DB9"/>
    <w:rsid w:val="00446EC4"/>
    <w:rsid w:val="004502BD"/>
    <w:rsid w:val="0045133E"/>
    <w:rsid w:val="0045321B"/>
    <w:rsid w:val="00454544"/>
    <w:rsid w:val="00455575"/>
    <w:rsid w:val="00455BBB"/>
    <w:rsid w:val="004569D1"/>
    <w:rsid w:val="00457141"/>
    <w:rsid w:val="004612F1"/>
    <w:rsid w:val="00462832"/>
    <w:rsid w:val="00470CC8"/>
    <w:rsid w:val="00471F5A"/>
    <w:rsid w:val="004734FA"/>
    <w:rsid w:val="004748D6"/>
    <w:rsid w:val="00477625"/>
    <w:rsid w:val="00480741"/>
    <w:rsid w:val="00485545"/>
    <w:rsid w:val="00486C80"/>
    <w:rsid w:val="0049099E"/>
    <w:rsid w:val="0049134F"/>
    <w:rsid w:val="004919B1"/>
    <w:rsid w:val="0049358E"/>
    <w:rsid w:val="004938FC"/>
    <w:rsid w:val="00493BAC"/>
    <w:rsid w:val="00494A9E"/>
    <w:rsid w:val="00496367"/>
    <w:rsid w:val="004A0D83"/>
    <w:rsid w:val="004A1CC8"/>
    <w:rsid w:val="004A4B8B"/>
    <w:rsid w:val="004B0955"/>
    <w:rsid w:val="004B1370"/>
    <w:rsid w:val="004B2037"/>
    <w:rsid w:val="004B282A"/>
    <w:rsid w:val="004B2D46"/>
    <w:rsid w:val="004B3452"/>
    <w:rsid w:val="004B3499"/>
    <w:rsid w:val="004B3A13"/>
    <w:rsid w:val="004B45ED"/>
    <w:rsid w:val="004C213D"/>
    <w:rsid w:val="004C4BB2"/>
    <w:rsid w:val="004C5132"/>
    <w:rsid w:val="004C524B"/>
    <w:rsid w:val="004C5DB7"/>
    <w:rsid w:val="004C7864"/>
    <w:rsid w:val="004C7F39"/>
    <w:rsid w:val="004C7F74"/>
    <w:rsid w:val="004D0696"/>
    <w:rsid w:val="004D0CA9"/>
    <w:rsid w:val="004D3F63"/>
    <w:rsid w:val="004D5AA0"/>
    <w:rsid w:val="004E0B98"/>
    <w:rsid w:val="004E2B84"/>
    <w:rsid w:val="004E3F3A"/>
    <w:rsid w:val="004F3660"/>
    <w:rsid w:val="004F5985"/>
    <w:rsid w:val="004F5D40"/>
    <w:rsid w:val="004F6C3F"/>
    <w:rsid w:val="004F7163"/>
    <w:rsid w:val="00500145"/>
    <w:rsid w:val="00500809"/>
    <w:rsid w:val="00500B4A"/>
    <w:rsid w:val="00500D70"/>
    <w:rsid w:val="0050144D"/>
    <w:rsid w:val="0050506F"/>
    <w:rsid w:val="00506D4C"/>
    <w:rsid w:val="00507C0E"/>
    <w:rsid w:val="00511F53"/>
    <w:rsid w:val="0051259E"/>
    <w:rsid w:val="00515DFC"/>
    <w:rsid w:val="005164B3"/>
    <w:rsid w:val="00516D05"/>
    <w:rsid w:val="005206C5"/>
    <w:rsid w:val="00520B9A"/>
    <w:rsid w:val="0052174F"/>
    <w:rsid w:val="00522789"/>
    <w:rsid w:val="005227E1"/>
    <w:rsid w:val="0052452E"/>
    <w:rsid w:val="005268C6"/>
    <w:rsid w:val="00530802"/>
    <w:rsid w:val="00530BE6"/>
    <w:rsid w:val="00533D9B"/>
    <w:rsid w:val="00535B3D"/>
    <w:rsid w:val="00536191"/>
    <w:rsid w:val="0054219A"/>
    <w:rsid w:val="00542F08"/>
    <w:rsid w:val="0054379B"/>
    <w:rsid w:val="005437E2"/>
    <w:rsid w:val="00544E08"/>
    <w:rsid w:val="00546EA5"/>
    <w:rsid w:val="00547FDD"/>
    <w:rsid w:val="005537CE"/>
    <w:rsid w:val="00553E4B"/>
    <w:rsid w:val="00555504"/>
    <w:rsid w:val="00557878"/>
    <w:rsid w:val="00557DC0"/>
    <w:rsid w:val="00564FAC"/>
    <w:rsid w:val="00565A0E"/>
    <w:rsid w:val="00571BD3"/>
    <w:rsid w:val="00573EA9"/>
    <w:rsid w:val="005741AC"/>
    <w:rsid w:val="00575974"/>
    <w:rsid w:val="00575F76"/>
    <w:rsid w:val="00581BE3"/>
    <w:rsid w:val="00582D67"/>
    <w:rsid w:val="005836EB"/>
    <w:rsid w:val="00583C97"/>
    <w:rsid w:val="005844EF"/>
    <w:rsid w:val="00585342"/>
    <w:rsid w:val="00586356"/>
    <w:rsid w:val="00590CA8"/>
    <w:rsid w:val="00591E05"/>
    <w:rsid w:val="0059273D"/>
    <w:rsid w:val="00592A6C"/>
    <w:rsid w:val="00593BE6"/>
    <w:rsid w:val="005949EC"/>
    <w:rsid w:val="00595117"/>
    <w:rsid w:val="005963F7"/>
    <w:rsid w:val="005A09B6"/>
    <w:rsid w:val="005A1B94"/>
    <w:rsid w:val="005A3330"/>
    <w:rsid w:val="005A62C0"/>
    <w:rsid w:val="005A6E39"/>
    <w:rsid w:val="005A7402"/>
    <w:rsid w:val="005A7450"/>
    <w:rsid w:val="005B1AA6"/>
    <w:rsid w:val="005B261B"/>
    <w:rsid w:val="005B47BD"/>
    <w:rsid w:val="005B6112"/>
    <w:rsid w:val="005B7DD6"/>
    <w:rsid w:val="005C0306"/>
    <w:rsid w:val="005C0CFD"/>
    <w:rsid w:val="005C2789"/>
    <w:rsid w:val="005C2C03"/>
    <w:rsid w:val="005C6447"/>
    <w:rsid w:val="005C665C"/>
    <w:rsid w:val="005D249C"/>
    <w:rsid w:val="005D29C6"/>
    <w:rsid w:val="005D4472"/>
    <w:rsid w:val="005D6CE3"/>
    <w:rsid w:val="005D76A7"/>
    <w:rsid w:val="005E2114"/>
    <w:rsid w:val="005E31A8"/>
    <w:rsid w:val="005E3727"/>
    <w:rsid w:val="005E5DC9"/>
    <w:rsid w:val="005E70B4"/>
    <w:rsid w:val="005E7185"/>
    <w:rsid w:val="005F21EA"/>
    <w:rsid w:val="005F26AF"/>
    <w:rsid w:val="005F5693"/>
    <w:rsid w:val="00604078"/>
    <w:rsid w:val="00604F4F"/>
    <w:rsid w:val="00607905"/>
    <w:rsid w:val="00613F86"/>
    <w:rsid w:val="00613FC0"/>
    <w:rsid w:val="00614019"/>
    <w:rsid w:val="00617ECD"/>
    <w:rsid w:val="0062009E"/>
    <w:rsid w:val="0062073A"/>
    <w:rsid w:val="0062089A"/>
    <w:rsid w:val="0062281A"/>
    <w:rsid w:val="0062425C"/>
    <w:rsid w:val="00625DB7"/>
    <w:rsid w:val="00625FF6"/>
    <w:rsid w:val="00627BB4"/>
    <w:rsid w:val="00632211"/>
    <w:rsid w:val="006345B2"/>
    <w:rsid w:val="0063541E"/>
    <w:rsid w:val="00635546"/>
    <w:rsid w:val="00635DC7"/>
    <w:rsid w:val="00637388"/>
    <w:rsid w:val="00637ADC"/>
    <w:rsid w:val="00640AF7"/>
    <w:rsid w:val="00644253"/>
    <w:rsid w:val="00644F67"/>
    <w:rsid w:val="00647706"/>
    <w:rsid w:val="00651FB5"/>
    <w:rsid w:val="00653190"/>
    <w:rsid w:val="0065468A"/>
    <w:rsid w:val="00657123"/>
    <w:rsid w:val="00665B17"/>
    <w:rsid w:val="0066649B"/>
    <w:rsid w:val="00667FEE"/>
    <w:rsid w:val="00674080"/>
    <w:rsid w:val="006761DC"/>
    <w:rsid w:val="00676B8C"/>
    <w:rsid w:val="00677E06"/>
    <w:rsid w:val="006830DF"/>
    <w:rsid w:val="00686920"/>
    <w:rsid w:val="00692105"/>
    <w:rsid w:val="00692917"/>
    <w:rsid w:val="00696279"/>
    <w:rsid w:val="00696A97"/>
    <w:rsid w:val="006A2624"/>
    <w:rsid w:val="006A3E64"/>
    <w:rsid w:val="006B452A"/>
    <w:rsid w:val="006B4A0F"/>
    <w:rsid w:val="006C03D3"/>
    <w:rsid w:val="006C2E32"/>
    <w:rsid w:val="006C463B"/>
    <w:rsid w:val="006C4D88"/>
    <w:rsid w:val="006C599D"/>
    <w:rsid w:val="006C59CD"/>
    <w:rsid w:val="006D017C"/>
    <w:rsid w:val="006D0410"/>
    <w:rsid w:val="006D1754"/>
    <w:rsid w:val="006D18CD"/>
    <w:rsid w:val="006D2B0E"/>
    <w:rsid w:val="006D2EB6"/>
    <w:rsid w:val="006D3476"/>
    <w:rsid w:val="006D70BB"/>
    <w:rsid w:val="006D727B"/>
    <w:rsid w:val="006D7758"/>
    <w:rsid w:val="006D7B4C"/>
    <w:rsid w:val="006E231B"/>
    <w:rsid w:val="006E2650"/>
    <w:rsid w:val="006E46A0"/>
    <w:rsid w:val="006E48EA"/>
    <w:rsid w:val="006E547E"/>
    <w:rsid w:val="006F0082"/>
    <w:rsid w:val="006F1DF5"/>
    <w:rsid w:val="006F2EE5"/>
    <w:rsid w:val="0070035D"/>
    <w:rsid w:val="00700E04"/>
    <w:rsid w:val="0070134A"/>
    <w:rsid w:val="0070174D"/>
    <w:rsid w:val="007074DB"/>
    <w:rsid w:val="007107E2"/>
    <w:rsid w:val="00710839"/>
    <w:rsid w:val="00711272"/>
    <w:rsid w:val="00712B67"/>
    <w:rsid w:val="00712C27"/>
    <w:rsid w:val="007145F6"/>
    <w:rsid w:val="0071552E"/>
    <w:rsid w:val="00716328"/>
    <w:rsid w:val="00720B9F"/>
    <w:rsid w:val="007231F7"/>
    <w:rsid w:val="00725555"/>
    <w:rsid w:val="0072662B"/>
    <w:rsid w:val="00726B7F"/>
    <w:rsid w:val="007318AA"/>
    <w:rsid w:val="007330B1"/>
    <w:rsid w:val="00735497"/>
    <w:rsid w:val="007359FE"/>
    <w:rsid w:val="00735E44"/>
    <w:rsid w:val="0073787E"/>
    <w:rsid w:val="007453EC"/>
    <w:rsid w:val="00746D4F"/>
    <w:rsid w:val="00754B43"/>
    <w:rsid w:val="00756E15"/>
    <w:rsid w:val="00761BD0"/>
    <w:rsid w:val="00761D04"/>
    <w:rsid w:val="00762F31"/>
    <w:rsid w:val="00763CFB"/>
    <w:rsid w:val="00764371"/>
    <w:rsid w:val="007655D4"/>
    <w:rsid w:val="00765665"/>
    <w:rsid w:val="00766052"/>
    <w:rsid w:val="00767000"/>
    <w:rsid w:val="00767AB0"/>
    <w:rsid w:val="00770188"/>
    <w:rsid w:val="0077329F"/>
    <w:rsid w:val="00773E24"/>
    <w:rsid w:val="0077506F"/>
    <w:rsid w:val="0077664D"/>
    <w:rsid w:val="00777124"/>
    <w:rsid w:val="00786563"/>
    <w:rsid w:val="00787E23"/>
    <w:rsid w:val="00793416"/>
    <w:rsid w:val="00793E94"/>
    <w:rsid w:val="00797654"/>
    <w:rsid w:val="007978F3"/>
    <w:rsid w:val="007A0829"/>
    <w:rsid w:val="007B0427"/>
    <w:rsid w:val="007B3A17"/>
    <w:rsid w:val="007B68A6"/>
    <w:rsid w:val="007C2111"/>
    <w:rsid w:val="007C263D"/>
    <w:rsid w:val="007C2CF7"/>
    <w:rsid w:val="007C449E"/>
    <w:rsid w:val="007C46DF"/>
    <w:rsid w:val="007D0931"/>
    <w:rsid w:val="007D0E1A"/>
    <w:rsid w:val="007D2B8A"/>
    <w:rsid w:val="007D3C61"/>
    <w:rsid w:val="007E14B4"/>
    <w:rsid w:val="007E2117"/>
    <w:rsid w:val="007E5C7F"/>
    <w:rsid w:val="007E7CC7"/>
    <w:rsid w:val="007F077F"/>
    <w:rsid w:val="007F1CBE"/>
    <w:rsid w:val="007F35AD"/>
    <w:rsid w:val="007F3E1C"/>
    <w:rsid w:val="007F41BA"/>
    <w:rsid w:val="007F6686"/>
    <w:rsid w:val="00800ED2"/>
    <w:rsid w:val="00803467"/>
    <w:rsid w:val="00813F5B"/>
    <w:rsid w:val="00815FA5"/>
    <w:rsid w:val="00817349"/>
    <w:rsid w:val="00817C19"/>
    <w:rsid w:val="00821CAA"/>
    <w:rsid w:val="0082237D"/>
    <w:rsid w:val="00822433"/>
    <w:rsid w:val="00822C02"/>
    <w:rsid w:val="00823E94"/>
    <w:rsid w:val="0082643B"/>
    <w:rsid w:val="008312F1"/>
    <w:rsid w:val="008332DE"/>
    <w:rsid w:val="0083376D"/>
    <w:rsid w:val="008339FB"/>
    <w:rsid w:val="0083413C"/>
    <w:rsid w:val="0084065D"/>
    <w:rsid w:val="00840A29"/>
    <w:rsid w:val="0084419C"/>
    <w:rsid w:val="008502D7"/>
    <w:rsid w:val="008509A5"/>
    <w:rsid w:val="00851715"/>
    <w:rsid w:val="00853590"/>
    <w:rsid w:val="00854CDA"/>
    <w:rsid w:val="00856BDD"/>
    <w:rsid w:val="00857A9D"/>
    <w:rsid w:val="00857E2A"/>
    <w:rsid w:val="00857E39"/>
    <w:rsid w:val="00865E4A"/>
    <w:rsid w:val="00866823"/>
    <w:rsid w:val="00867380"/>
    <w:rsid w:val="00873159"/>
    <w:rsid w:val="00881B4D"/>
    <w:rsid w:val="00882F52"/>
    <w:rsid w:val="0088688E"/>
    <w:rsid w:val="00887D4E"/>
    <w:rsid w:val="0089032B"/>
    <w:rsid w:val="00890BD6"/>
    <w:rsid w:val="00891E5C"/>
    <w:rsid w:val="0089716D"/>
    <w:rsid w:val="008A0CAF"/>
    <w:rsid w:val="008A1680"/>
    <w:rsid w:val="008A2241"/>
    <w:rsid w:val="008A3D87"/>
    <w:rsid w:val="008A4CE5"/>
    <w:rsid w:val="008A5A8E"/>
    <w:rsid w:val="008A7BBD"/>
    <w:rsid w:val="008B226B"/>
    <w:rsid w:val="008B283A"/>
    <w:rsid w:val="008B5F67"/>
    <w:rsid w:val="008C23C7"/>
    <w:rsid w:val="008C4770"/>
    <w:rsid w:val="008C6044"/>
    <w:rsid w:val="008C7A09"/>
    <w:rsid w:val="008C7B02"/>
    <w:rsid w:val="008C7E61"/>
    <w:rsid w:val="008D0A41"/>
    <w:rsid w:val="008D2BF2"/>
    <w:rsid w:val="008D2CDE"/>
    <w:rsid w:val="008D3151"/>
    <w:rsid w:val="008D58DE"/>
    <w:rsid w:val="008D7399"/>
    <w:rsid w:val="008E0E1A"/>
    <w:rsid w:val="008E3846"/>
    <w:rsid w:val="008E562E"/>
    <w:rsid w:val="008F1A88"/>
    <w:rsid w:val="008F3272"/>
    <w:rsid w:val="008F4AF6"/>
    <w:rsid w:val="008F52B5"/>
    <w:rsid w:val="008F6C2C"/>
    <w:rsid w:val="008F703E"/>
    <w:rsid w:val="009001CA"/>
    <w:rsid w:val="00905BEA"/>
    <w:rsid w:val="009111FE"/>
    <w:rsid w:val="00912A4C"/>
    <w:rsid w:val="00913B4B"/>
    <w:rsid w:val="00915211"/>
    <w:rsid w:val="0091546E"/>
    <w:rsid w:val="00916D40"/>
    <w:rsid w:val="00917163"/>
    <w:rsid w:val="009220A7"/>
    <w:rsid w:val="00923ABB"/>
    <w:rsid w:val="009277A5"/>
    <w:rsid w:val="0092791F"/>
    <w:rsid w:val="00936542"/>
    <w:rsid w:val="009369B2"/>
    <w:rsid w:val="009439F8"/>
    <w:rsid w:val="0094411D"/>
    <w:rsid w:val="009454EB"/>
    <w:rsid w:val="00946AF9"/>
    <w:rsid w:val="00952AE8"/>
    <w:rsid w:val="0095369E"/>
    <w:rsid w:val="00953CC4"/>
    <w:rsid w:val="00954593"/>
    <w:rsid w:val="00955866"/>
    <w:rsid w:val="009561DF"/>
    <w:rsid w:val="0095691D"/>
    <w:rsid w:val="00956B0B"/>
    <w:rsid w:val="0095732C"/>
    <w:rsid w:val="0095742B"/>
    <w:rsid w:val="00961001"/>
    <w:rsid w:val="00961350"/>
    <w:rsid w:val="00963BC6"/>
    <w:rsid w:val="0096735B"/>
    <w:rsid w:val="00967EC4"/>
    <w:rsid w:val="00967FD7"/>
    <w:rsid w:val="009711AE"/>
    <w:rsid w:val="00972443"/>
    <w:rsid w:val="00975958"/>
    <w:rsid w:val="00977761"/>
    <w:rsid w:val="0098022F"/>
    <w:rsid w:val="00981EE8"/>
    <w:rsid w:val="009821DC"/>
    <w:rsid w:val="009830D8"/>
    <w:rsid w:val="00985644"/>
    <w:rsid w:val="009877CB"/>
    <w:rsid w:val="00987D7F"/>
    <w:rsid w:val="00994C5D"/>
    <w:rsid w:val="00995AA2"/>
    <w:rsid w:val="00997695"/>
    <w:rsid w:val="009A004B"/>
    <w:rsid w:val="009A1812"/>
    <w:rsid w:val="009A1AF1"/>
    <w:rsid w:val="009A1C01"/>
    <w:rsid w:val="009A34A9"/>
    <w:rsid w:val="009A46EF"/>
    <w:rsid w:val="009A4AAB"/>
    <w:rsid w:val="009A505A"/>
    <w:rsid w:val="009A76FE"/>
    <w:rsid w:val="009B3AA5"/>
    <w:rsid w:val="009B4BD1"/>
    <w:rsid w:val="009B53E1"/>
    <w:rsid w:val="009B6780"/>
    <w:rsid w:val="009B6F1E"/>
    <w:rsid w:val="009B70E3"/>
    <w:rsid w:val="009C1F86"/>
    <w:rsid w:val="009C3A5E"/>
    <w:rsid w:val="009C48D8"/>
    <w:rsid w:val="009C4F19"/>
    <w:rsid w:val="009D0362"/>
    <w:rsid w:val="009D06A3"/>
    <w:rsid w:val="009D10DD"/>
    <w:rsid w:val="009D17B1"/>
    <w:rsid w:val="009D253B"/>
    <w:rsid w:val="009D3316"/>
    <w:rsid w:val="009D3B81"/>
    <w:rsid w:val="009D4020"/>
    <w:rsid w:val="009D4C95"/>
    <w:rsid w:val="009D4EFF"/>
    <w:rsid w:val="009D67FE"/>
    <w:rsid w:val="009D6FE9"/>
    <w:rsid w:val="009E02C5"/>
    <w:rsid w:val="009E1AB7"/>
    <w:rsid w:val="009E2024"/>
    <w:rsid w:val="009E2A38"/>
    <w:rsid w:val="009E545B"/>
    <w:rsid w:val="009F31DE"/>
    <w:rsid w:val="009F3B27"/>
    <w:rsid w:val="009F4377"/>
    <w:rsid w:val="009F473A"/>
    <w:rsid w:val="009F5E24"/>
    <w:rsid w:val="009F5F35"/>
    <w:rsid w:val="009F6F3B"/>
    <w:rsid w:val="00A00058"/>
    <w:rsid w:val="00A020A2"/>
    <w:rsid w:val="00A0243E"/>
    <w:rsid w:val="00A04D0F"/>
    <w:rsid w:val="00A13F71"/>
    <w:rsid w:val="00A16344"/>
    <w:rsid w:val="00A222D1"/>
    <w:rsid w:val="00A22BC5"/>
    <w:rsid w:val="00A24CA9"/>
    <w:rsid w:val="00A2570A"/>
    <w:rsid w:val="00A25B77"/>
    <w:rsid w:val="00A31515"/>
    <w:rsid w:val="00A33432"/>
    <w:rsid w:val="00A35AE5"/>
    <w:rsid w:val="00A35BA4"/>
    <w:rsid w:val="00A366AF"/>
    <w:rsid w:val="00A413A9"/>
    <w:rsid w:val="00A42447"/>
    <w:rsid w:val="00A43594"/>
    <w:rsid w:val="00A439AE"/>
    <w:rsid w:val="00A44658"/>
    <w:rsid w:val="00A44673"/>
    <w:rsid w:val="00A44D8E"/>
    <w:rsid w:val="00A45C6B"/>
    <w:rsid w:val="00A45DCF"/>
    <w:rsid w:val="00A51CE6"/>
    <w:rsid w:val="00A5203C"/>
    <w:rsid w:val="00A539D6"/>
    <w:rsid w:val="00A546DE"/>
    <w:rsid w:val="00A57E3B"/>
    <w:rsid w:val="00A6336F"/>
    <w:rsid w:val="00A65579"/>
    <w:rsid w:val="00A734A8"/>
    <w:rsid w:val="00A744B1"/>
    <w:rsid w:val="00A7615C"/>
    <w:rsid w:val="00A8286A"/>
    <w:rsid w:val="00A84E5F"/>
    <w:rsid w:val="00A85A48"/>
    <w:rsid w:val="00A9034C"/>
    <w:rsid w:val="00A90F26"/>
    <w:rsid w:val="00A92092"/>
    <w:rsid w:val="00A95738"/>
    <w:rsid w:val="00AA0DEC"/>
    <w:rsid w:val="00AA1D13"/>
    <w:rsid w:val="00AA1FDA"/>
    <w:rsid w:val="00AA346E"/>
    <w:rsid w:val="00AA3B42"/>
    <w:rsid w:val="00AA4DCD"/>
    <w:rsid w:val="00AB0661"/>
    <w:rsid w:val="00AB1C31"/>
    <w:rsid w:val="00AB1C98"/>
    <w:rsid w:val="00AB7709"/>
    <w:rsid w:val="00AC19BD"/>
    <w:rsid w:val="00AC2453"/>
    <w:rsid w:val="00AC52BC"/>
    <w:rsid w:val="00AC6996"/>
    <w:rsid w:val="00AC7952"/>
    <w:rsid w:val="00AD0809"/>
    <w:rsid w:val="00AD25F4"/>
    <w:rsid w:val="00AD7441"/>
    <w:rsid w:val="00AE1E51"/>
    <w:rsid w:val="00AE6E14"/>
    <w:rsid w:val="00AF020F"/>
    <w:rsid w:val="00AF09E0"/>
    <w:rsid w:val="00AF2AC6"/>
    <w:rsid w:val="00AF3D88"/>
    <w:rsid w:val="00AF4041"/>
    <w:rsid w:val="00AF4FE8"/>
    <w:rsid w:val="00B00A82"/>
    <w:rsid w:val="00B013D7"/>
    <w:rsid w:val="00B01BCD"/>
    <w:rsid w:val="00B01BD3"/>
    <w:rsid w:val="00B02835"/>
    <w:rsid w:val="00B0397B"/>
    <w:rsid w:val="00B05924"/>
    <w:rsid w:val="00B16063"/>
    <w:rsid w:val="00B171F3"/>
    <w:rsid w:val="00B17AA4"/>
    <w:rsid w:val="00B22151"/>
    <w:rsid w:val="00B2455E"/>
    <w:rsid w:val="00B278C8"/>
    <w:rsid w:val="00B32299"/>
    <w:rsid w:val="00B35FF9"/>
    <w:rsid w:val="00B37090"/>
    <w:rsid w:val="00B41672"/>
    <w:rsid w:val="00B41E41"/>
    <w:rsid w:val="00B43D9F"/>
    <w:rsid w:val="00B44F27"/>
    <w:rsid w:val="00B46CB1"/>
    <w:rsid w:val="00B47B7D"/>
    <w:rsid w:val="00B5260F"/>
    <w:rsid w:val="00B61868"/>
    <w:rsid w:val="00B635B5"/>
    <w:rsid w:val="00B6363E"/>
    <w:rsid w:val="00B65287"/>
    <w:rsid w:val="00B67B26"/>
    <w:rsid w:val="00B7014C"/>
    <w:rsid w:val="00B70A8F"/>
    <w:rsid w:val="00B73F46"/>
    <w:rsid w:val="00B772FE"/>
    <w:rsid w:val="00B77BBD"/>
    <w:rsid w:val="00B80212"/>
    <w:rsid w:val="00B81B3C"/>
    <w:rsid w:val="00B861A9"/>
    <w:rsid w:val="00B86AD9"/>
    <w:rsid w:val="00B86B23"/>
    <w:rsid w:val="00B87040"/>
    <w:rsid w:val="00B8775C"/>
    <w:rsid w:val="00B92411"/>
    <w:rsid w:val="00B95882"/>
    <w:rsid w:val="00B96319"/>
    <w:rsid w:val="00BB5940"/>
    <w:rsid w:val="00BC08D8"/>
    <w:rsid w:val="00BC280A"/>
    <w:rsid w:val="00BC7551"/>
    <w:rsid w:val="00BD24F8"/>
    <w:rsid w:val="00BD3018"/>
    <w:rsid w:val="00BD3F3B"/>
    <w:rsid w:val="00BD4364"/>
    <w:rsid w:val="00BD4CB2"/>
    <w:rsid w:val="00BD55E6"/>
    <w:rsid w:val="00BD5CF6"/>
    <w:rsid w:val="00BD6444"/>
    <w:rsid w:val="00BE0A9D"/>
    <w:rsid w:val="00BE3751"/>
    <w:rsid w:val="00BE752A"/>
    <w:rsid w:val="00BE7BDB"/>
    <w:rsid w:val="00BF230E"/>
    <w:rsid w:val="00C008B9"/>
    <w:rsid w:val="00C00B55"/>
    <w:rsid w:val="00C0334C"/>
    <w:rsid w:val="00C03BDC"/>
    <w:rsid w:val="00C051E8"/>
    <w:rsid w:val="00C07077"/>
    <w:rsid w:val="00C10002"/>
    <w:rsid w:val="00C116F4"/>
    <w:rsid w:val="00C11D59"/>
    <w:rsid w:val="00C1213C"/>
    <w:rsid w:val="00C16CAF"/>
    <w:rsid w:val="00C205D8"/>
    <w:rsid w:val="00C20ADC"/>
    <w:rsid w:val="00C2788E"/>
    <w:rsid w:val="00C27BE9"/>
    <w:rsid w:val="00C32DFF"/>
    <w:rsid w:val="00C334A1"/>
    <w:rsid w:val="00C44304"/>
    <w:rsid w:val="00C471C3"/>
    <w:rsid w:val="00C50E05"/>
    <w:rsid w:val="00C52663"/>
    <w:rsid w:val="00C52785"/>
    <w:rsid w:val="00C56C36"/>
    <w:rsid w:val="00C61AD3"/>
    <w:rsid w:val="00C72611"/>
    <w:rsid w:val="00C72D3F"/>
    <w:rsid w:val="00C738F2"/>
    <w:rsid w:val="00C7615B"/>
    <w:rsid w:val="00C775D6"/>
    <w:rsid w:val="00C80CEB"/>
    <w:rsid w:val="00C81E41"/>
    <w:rsid w:val="00C858DD"/>
    <w:rsid w:val="00C87B1B"/>
    <w:rsid w:val="00C97690"/>
    <w:rsid w:val="00CA314E"/>
    <w:rsid w:val="00CA3217"/>
    <w:rsid w:val="00CA4401"/>
    <w:rsid w:val="00CA44A9"/>
    <w:rsid w:val="00CA5896"/>
    <w:rsid w:val="00CA66F4"/>
    <w:rsid w:val="00CA6EED"/>
    <w:rsid w:val="00CB0537"/>
    <w:rsid w:val="00CB45E9"/>
    <w:rsid w:val="00CB502A"/>
    <w:rsid w:val="00CB6453"/>
    <w:rsid w:val="00CC085D"/>
    <w:rsid w:val="00CC21D9"/>
    <w:rsid w:val="00CC3D9F"/>
    <w:rsid w:val="00CD0CF5"/>
    <w:rsid w:val="00CD18E0"/>
    <w:rsid w:val="00CD291B"/>
    <w:rsid w:val="00CD3CF4"/>
    <w:rsid w:val="00CD416E"/>
    <w:rsid w:val="00CD461A"/>
    <w:rsid w:val="00CE11F9"/>
    <w:rsid w:val="00CE3AF4"/>
    <w:rsid w:val="00CE45C4"/>
    <w:rsid w:val="00CE49E3"/>
    <w:rsid w:val="00CF09A0"/>
    <w:rsid w:val="00CF3471"/>
    <w:rsid w:val="00CF4F4F"/>
    <w:rsid w:val="00CF6F3B"/>
    <w:rsid w:val="00CF7192"/>
    <w:rsid w:val="00D02FE4"/>
    <w:rsid w:val="00D0605D"/>
    <w:rsid w:val="00D14618"/>
    <w:rsid w:val="00D156CC"/>
    <w:rsid w:val="00D166C3"/>
    <w:rsid w:val="00D17D9F"/>
    <w:rsid w:val="00D20A55"/>
    <w:rsid w:val="00D21A90"/>
    <w:rsid w:val="00D226C2"/>
    <w:rsid w:val="00D23C5A"/>
    <w:rsid w:val="00D25AC9"/>
    <w:rsid w:val="00D25E0B"/>
    <w:rsid w:val="00D32F46"/>
    <w:rsid w:val="00D36C96"/>
    <w:rsid w:val="00D370B7"/>
    <w:rsid w:val="00D43B30"/>
    <w:rsid w:val="00D453A1"/>
    <w:rsid w:val="00D51182"/>
    <w:rsid w:val="00D53FE6"/>
    <w:rsid w:val="00D544F5"/>
    <w:rsid w:val="00D547C3"/>
    <w:rsid w:val="00D55B4A"/>
    <w:rsid w:val="00D604D8"/>
    <w:rsid w:val="00D61C3F"/>
    <w:rsid w:val="00D638D6"/>
    <w:rsid w:val="00D63CF5"/>
    <w:rsid w:val="00D63F7D"/>
    <w:rsid w:val="00D645F4"/>
    <w:rsid w:val="00D66F1E"/>
    <w:rsid w:val="00D676BC"/>
    <w:rsid w:val="00D71AC6"/>
    <w:rsid w:val="00D73040"/>
    <w:rsid w:val="00D811F2"/>
    <w:rsid w:val="00D83080"/>
    <w:rsid w:val="00D83C6A"/>
    <w:rsid w:val="00D85D6B"/>
    <w:rsid w:val="00D868F0"/>
    <w:rsid w:val="00D938EF"/>
    <w:rsid w:val="00D93C56"/>
    <w:rsid w:val="00DA14D9"/>
    <w:rsid w:val="00DA549C"/>
    <w:rsid w:val="00DA6389"/>
    <w:rsid w:val="00DA7542"/>
    <w:rsid w:val="00DB0322"/>
    <w:rsid w:val="00DB13BF"/>
    <w:rsid w:val="00DB19EC"/>
    <w:rsid w:val="00DB3688"/>
    <w:rsid w:val="00DB58E5"/>
    <w:rsid w:val="00DC0F95"/>
    <w:rsid w:val="00DC12D2"/>
    <w:rsid w:val="00DC250E"/>
    <w:rsid w:val="00DC4F14"/>
    <w:rsid w:val="00DC594D"/>
    <w:rsid w:val="00DC7D6C"/>
    <w:rsid w:val="00DD0ADF"/>
    <w:rsid w:val="00DD1BB6"/>
    <w:rsid w:val="00DD2067"/>
    <w:rsid w:val="00DD4C72"/>
    <w:rsid w:val="00DE1D43"/>
    <w:rsid w:val="00DE546D"/>
    <w:rsid w:val="00DE6578"/>
    <w:rsid w:val="00DF0BEF"/>
    <w:rsid w:val="00DF552C"/>
    <w:rsid w:val="00DF7123"/>
    <w:rsid w:val="00DF747A"/>
    <w:rsid w:val="00E024BF"/>
    <w:rsid w:val="00E10352"/>
    <w:rsid w:val="00E145E1"/>
    <w:rsid w:val="00E16183"/>
    <w:rsid w:val="00E23238"/>
    <w:rsid w:val="00E24DEF"/>
    <w:rsid w:val="00E251C6"/>
    <w:rsid w:val="00E311BC"/>
    <w:rsid w:val="00E35AC5"/>
    <w:rsid w:val="00E3739C"/>
    <w:rsid w:val="00E40009"/>
    <w:rsid w:val="00E4107D"/>
    <w:rsid w:val="00E41FBF"/>
    <w:rsid w:val="00E42CD5"/>
    <w:rsid w:val="00E434ED"/>
    <w:rsid w:val="00E437FA"/>
    <w:rsid w:val="00E449F6"/>
    <w:rsid w:val="00E44D14"/>
    <w:rsid w:val="00E50ED0"/>
    <w:rsid w:val="00E53138"/>
    <w:rsid w:val="00E56012"/>
    <w:rsid w:val="00E56864"/>
    <w:rsid w:val="00E57D5A"/>
    <w:rsid w:val="00E61814"/>
    <w:rsid w:val="00E61B2A"/>
    <w:rsid w:val="00E61D5A"/>
    <w:rsid w:val="00E64452"/>
    <w:rsid w:val="00E67358"/>
    <w:rsid w:val="00E7382F"/>
    <w:rsid w:val="00E759C5"/>
    <w:rsid w:val="00E776DD"/>
    <w:rsid w:val="00E83197"/>
    <w:rsid w:val="00E8357A"/>
    <w:rsid w:val="00E8469C"/>
    <w:rsid w:val="00E84903"/>
    <w:rsid w:val="00E8537A"/>
    <w:rsid w:val="00E915BD"/>
    <w:rsid w:val="00E95CCF"/>
    <w:rsid w:val="00E977B6"/>
    <w:rsid w:val="00EA2E94"/>
    <w:rsid w:val="00EA468B"/>
    <w:rsid w:val="00EB045B"/>
    <w:rsid w:val="00EB0F01"/>
    <w:rsid w:val="00EB15C1"/>
    <w:rsid w:val="00EB2677"/>
    <w:rsid w:val="00EB4821"/>
    <w:rsid w:val="00EB74E5"/>
    <w:rsid w:val="00EC0800"/>
    <w:rsid w:val="00EC32D6"/>
    <w:rsid w:val="00EC6141"/>
    <w:rsid w:val="00ED01E1"/>
    <w:rsid w:val="00ED2E85"/>
    <w:rsid w:val="00ED5926"/>
    <w:rsid w:val="00ED641C"/>
    <w:rsid w:val="00EF03ED"/>
    <w:rsid w:val="00EF12E6"/>
    <w:rsid w:val="00EF1C39"/>
    <w:rsid w:val="00EF3B32"/>
    <w:rsid w:val="00EF7910"/>
    <w:rsid w:val="00F0098F"/>
    <w:rsid w:val="00F06514"/>
    <w:rsid w:val="00F071E3"/>
    <w:rsid w:val="00F10471"/>
    <w:rsid w:val="00F13994"/>
    <w:rsid w:val="00F1462C"/>
    <w:rsid w:val="00F15653"/>
    <w:rsid w:val="00F15BE4"/>
    <w:rsid w:val="00F15D09"/>
    <w:rsid w:val="00F15F73"/>
    <w:rsid w:val="00F17178"/>
    <w:rsid w:val="00F207C7"/>
    <w:rsid w:val="00F20E1F"/>
    <w:rsid w:val="00F22512"/>
    <w:rsid w:val="00F234EA"/>
    <w:rsid w:val="00F24CE7"/>
    <w:rsid w:val="00F258F3"/>
    <w:rsid w:val="00F27228"/>
    <w:rsid w:val="00F2781A"/>
    <w:rsid w:val="00F278DF"/>
    <w:rsid w:val="00F3019D"/>
    <w:rsid w:val="00F31F68"/>
    <w:rsid w:val="00F35413"/>
    <w:rsid w:val="00F3662E"/>
    <w:rsid w:val="00F36E34"/>
    <w:rsid w:val="00F37DB9"/>
    <w:rsid w:val="00F4129A"/>
    <w:rsid w:val="00F42C03"/>
    <w:rsid w:val="00F44AA9"/>
    <w:rsid w:val="00F509E5"/>
    <w:rsid w:val="00F51629"/>
    <w:rsid w:val="00F553D3"/>
    <w:rsid w:val="00F60C5B"/>
    <w:rsid w:val="00F6127D"/>
    <w:rsid w:val="00F61685"/>
    <w:rsid w:val="00F63871"/>
    <w:rsid w:val="00F63FE0"/>
    <w:rsid w:val="00F641F7"/>
    <w:rsid w:val="00F657B2"/>
    <w:rsid w:val="00F65B76"/>
    <w:rsid w:val="00F66DF0"/>
    <w:rsid w:val="00F671FA"/>
    <w:rsid w:val="00F67964"/>
    <w:rsid w:val="00F67DBE"/>
    <w:rsid w:val="00F71050"/>
    <w:rsid w:val="00F725A7"/>
    <w:rsid w:val="00F732CF"/>
    <w:rsid w:val="00F73D26"/>
    <w:rsid w:val="00F73F86"/>
    <w:rsid w:val="00F74975"/>
    <w:rsid w:val="00F761E3"/>
    <w:rsid w:val="00F76B0D"/>
    <w:rsid w:val="00F804BC"/>
    <w:rsid w:val="00F825BF"/>
    <w:rsid w:val="00F8477D"/>
    <w:rsid w:val="00F868E4"/>
    <w:rsid w:val="00F87F89"/>
    <w:rsid w:val="00F902C2"/>
    <w:rsid w:val="00F90623"/>
    <w:rsid w:val="00F90E9F"/>
    <w:rsid w:val="00F90ED4"/>
    <w:rsid w:val="00F94D65"/>
    <w:rsid w:val="00FA4247"/>
    <w:rsid w:val="00FA50D2"/>
    <w:rsid w:val="00FA6B14"/>
    <w:rsid w:val="00FB07D9"/>
    <w:rsid w:val="00FB19FD"/>
    <w:rsid w:val="00FB237E"/>
    <w:rsid w:val="00FB23B6"/>
    <w:rsid w:val="00FB2685"/>
    <w:rsid w:val="00FB3548"/>
    <w:rsid w:val="00FB4312"/>
    <w:rsid w:val="00FB499E"/>
    <w:rsid w:val="00FC0582"/>
    <w:rsid w:val="00FD1044"/>
    <w:rsid w:val="00FD6837"/>
    <w:rsid w:val="00FE021C"/>
    <w:rsid w:val="00FE1C81"/>
    <w:rsid w:val="00FE4AAB"/>
    <w:rsid w:val="00FE56F9"/>
    <w:rsid w:val="00FE6526"/>
    <w:rsid w:val="00FF25FE"/>
    <w:rsid w:val="00FF450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60417"/>
    <o:shapelayout v:ext="edit">
      <o:idmap v:ext="edit" data="1"/>
    </o:shapelayout>
  </w:shapeDefaults>
  <w:decimalSymbol w:val=","/>
  <w:listSeparator w:val=";"/>
  <w14:docId w14:val="7B7CE53E"/>
  <w15:docId w15:val="{9ED90214-3CD8-4606-BEE0-6FC6868D5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588D"/>
    <w:pPr>
      <w:spacing w:before="120" w:after="120" w:line="240" w:lineRule="auto"/>
      <w:jc w:val="both"/>
    </w:pPr>
    <w:rPr>
      <w:rFonts w:ascii="Verdana" w:eastAsia="Times New Roman" w:hAnsi="Verdana" w:cs="Times New Roman"/>
      <w:sz w:val="20"/>
      <w:szCs w:val="24"/>
    </w:rPr>
  </w:style>
  <w:style w:type="paragraph" w:styleId="Heading1">
    <w:name w:val="heading 1"/>
    <w:basedOn w:val="Normal"/>
    <w:next w:val="Normal"/>
    <w:link w:val="Heading1Char"/>
    <w:autoRedefine/>
    <w:uiPriority w:val="1"/>
    <w:qFormat/>
    <w:rsid w:val="006E48EA"/>
    <w:pPr>
      <w:keepNext/>
      <w:tabs>
        <w:tab w:val="num" w:pos="1134"/>
      </w:tabs>
      <w:spacing w:before="360" w:after="180"/>
      <w:ind w:left="1134" w:hanging="1134"/>
      <w:outlineLvl w:val="0"/>
    </w:pPr>
    <w:rPr>
      <w:b/>
      <w:sz w:val="28"/>
    </w:rPr>
  </w:style>
  <w:style w:type="paragraph" w:styleId="Heading2">
    <w:name w:val="heading 2"/>
    <w:basedOn w:val="Normal"/>
    <w:next w:val="Normal"/>
    <w:link w:val="Heading2Char"/>
    <w:autoRedefine/>
    <w:uiPriority w:val="1"/>
    <w:qFormat/>
    <w:rsid w:val="006E48EA"/>
    <w:pPr>
      <w:keepNext/>
      <w:spacing w:before="240"/>
      <w:outlineLvl w:val="1"/>
    </w:pPr>
    <w:rPr>
      <w:b/>
      <w:sz w:val="24"/>
    </w:rPr>
  </w:style>
  <w:style w:type="paragraph" w:styleId="Heading3">
    <w:name w:val="heading 3"/>
    <w:basedOn w:val="Normal"/>
    <w:next w:val="Normal"/>
    <w:link w:val="Heading3Char"/>
    <w:autoRedefine/>
    <w:uiPriority w:val="1"/>
    <w:qFormat/>
    <w:rsid w:val="006E48EA"/>
    <w:pPr>
      <w:keepNext/>
      <w:tabs>
        <w:tab w:val="num" w:pos="1134"/>
      </w:tabs>
      <w:spacing w:before="180"/>
      <w:ind w:left="1134" w:hanging="1134"/>
      <w:outlineLvl w:val="2"/>
    </w:pPr>
    <w:rPr>
      <w:b/>
    </w:rPr>
  </w:style>
  <w:style w:type="paragraph" w:styleId="Heading4">
    <w:name w:val="heading 4"/>
    <w:basedOn w:val="Normal"/>
    <w:next w:val="Normal"/>
    <w:link w:val="Heading4Char"/>
    <w:autoRedefine/>
    <w:uiPriority w:val="1"/>
    <w:qFormat/>
    <w:rsid w:val="006E48EA"/>
    <w:pPr>
      <w:keepNext/>
      <w:tabs>
        <w:tab w:val="num" w:pos="1134"/>
      </w:tabs>
      <w:spacing w:before="160"/>
      <w:ind w:left="1134" w:hanging="1134"/>
      <w:outlineLvl w:val="3"/>
    </w:pPr>
    <w:rPr>
      <w:b/>
      <w:i/>
    </w:rPr>
  </w:style>
  <w:style w:type="paragraph" w:styleId="Heading5">
    <w:name w:val="heading 5"/>
    <w:basedOn w:val="Normal"/>
    <w:next w:val="Normal"/>
    <w:link w:val="Heading5Char"/>
    <w:autoRedefine/>
    <w:uiPriority w:val="1"/>
    <w:qFormat/>
    <w:rsid w:val="006E48EA"/>
    <w:pPr>
      <w:keepNext/>
      <w:tabs>
        <w:tab w:val="num" w:pos="1134"/>
      </w:tabs>
      <w:spacing w:before="140"/>
      <w:ind w:left="1134" w:hanging="1134"/>
      <w:outlineLvl w:val="4"/>
    </w:pPr>
    <w:rPr>
      <w:b/>
      <w:i/>
    </w:rPr>
  </w:style>
  <w:style w:type="paragraph" w:styleId="Heading6">
    <w:name w:val="heading 6"/>
    <w:basedOn w:val="Normal"/>
    <w:next w:val="Normal"/>
    <w:link w:val="Heading6Char"/>
    <w:semiHidden/>
    <w:unhideWhenUsed/>
    <w:rsid w:val="006E48EA"/>
    <w:pPr>
      <w:tabs>
        <w:tab w:val="num" w:pos="0"/>
      </w:tabs>
      <w:spacing w:before="240" w:after="60"/>
      <w:outlineLvl w:val="5"/>
    </w:pPr>
    <w:rPr>
      <w:rFonts w:ascii="Times New Roman" w:hAnsi="Times New Roman"/>
      <w:b/>
      <w:bCs/>
      <w:szCs w:val="22"/>
    </w:rPr>
  </w:style>
  <w:style w:type="paragraph" w:styleId="Heading7">
    <w:name w:val="heading 7"/>
    <w:basedOn w:val="Normal"/>
    <w:next w:val="Normal"/>
    <w:link w:val="Heading7Char"/>
    <w:semiHidden/>
    <w:unhideWhenUsed/>
    <w:rsid w:val="006E48EA"/>
    <w:pPr>
      <w:tabs>
        <w:tab w:val="num" w:pos="0"/>
      </w:tabs>
      <w:spacing w:before="240" w:after="60"/>
      <w:outlineLvl w:val="6"/>
    </w:pPr>
    <w:rPr>
      <w:rFonts w:ascii="Times New Roman" w:hAnsi="Times New Roman"/>
      <w:sz w:val="24"/>
    </w:rPr>
  </w:style>
  <w:style w:type="paragraph" w:styleId="Heading8">
    <w:name w:val="heading 8"/>
    <w:basedOn w:val="Normal"/>
    <w:next w:val="Normal"/>
    <w:link w:val="Heading8Char"/>
    <w:semiHidden/>
    <w:unhideWhenUsed/>
    <w:rsid w:val="006E48EA"/>
    <w:pPr>
      <w:tabs>
        <w:tab w:val="num" w:pos="0"/>
      </w:tabs>
      <w:spacing w:before="240" w:after="60"/>
      <w:outlineLvl w:val="7"/>
    </w:pPr>
    <w:rPr>
      <w:rFonts w:ascii="Times New Roman" w:hAnsi="Times New Roman"/>
      <w:i/>
      <w:iCs/>
      <w:sz w:val="24"/>
    </w:rPr>
  </w:style>
  <w:style w:type="paragraph" w:styleId="Heading9">
    <w:name w:val="heading 9"/>
    <w:basedOn w:val="Normal"/>
    <w:next w:val="Normal"/>
    <w:link w:val="Heading9Char"/>
    <w:semiHidden/>
    <w:unhideWhenUsed/>
    <w:rsid w:val="006E48EA"/>
    <w:pPr>
      <w:tabs>
        <w:tab w:val="num" w:pos="0"/>
      </w:tabs>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E48EA"/>
    <w:rPr>
      <w:rFonts w:ascii="Verdana" w:eastAsia="Times New Roman" w:hAnsi="Verdana" w:cs="Times New Roman"/>
      <w:b/>
      <w:sz w:val="28"/>
      <w:szCs w:val="24"/>
    </w:rPr>
  </w:style>
  <w:style w:type="character" w:customStyle="1" w:styleId="Heading2Char">
    <w:name w:val="Heading 2 Char"/>
    <w:basedOn w:val="DefaultParagraphFont"/>
    <w:link w:val="Heading2"/>
    <w:uiPriority w:val="9"/>
    <w:rsid w:val="006E48EA"/>
    <w:rPr>
      <w:rFonts w:ascii="Verdana" w:eastAsia="Times New Roman" w:hAnsi="Verdana" w:cs="Times New Roman"/>
      <w:b/>
      <w:sz w:val="24"/>
      <w:szCs w:val="24"/>
    </w:rPr>
  </w:style>
  <w:style w:type="character" w:customStyle="1" w:styleId="Heading3Char">
    <w:name w:val="Heading 3 Char"/>
    <w:basedOn w:val="DefaultParagraphFont"/>
    <w:link w:val="Heading3"/>
    <w:uiPriority w:val="1"/>
    <w:rsid w:val="006E48EA"/>
    <w:rPr>
      <w:rFonts w:ascii="Verdana" w:eastAsia="Times New Roman" w:hAnsi="Verdana" w:cs="Times New Roman"/>
      <w:b/>
      <w:sz w:val="20"/>
      <w:szCs w:val="24"/>
    </w:rPr>
  </w:style>
  <w:style w:type="character" w:customStyle="1" w:styleId="Heading4Char">
    <w:name w:val="Heading 4 Char"/>
    <w:basedOn w:val="DefaultParagraphFont"/>
    <w:link w:val="Heading4"/>
    <w:uiPriority w:val="1"/>
    <w:rsid w:val="006E48EA"/>
    <w:rPr>
      <w:rFonts w:ascii="Verdana" w:eastAsia="Times New Roman" w:hAnsi="Verdana" w:cs="Times New Roman"/>
      <w:b/>
      <w:i/>
      <w:sz w:val="20"/>
      <w:szCs w:val="24"/>
    </w:rPr>
  </w:style>
  <w:style w:type="character" w:customStyle="1" w:styleId="Heading5Char">
    <w:name w:val="Heading 5 Char"/>
    <w:basedOn w:val="DefaultParagraphFont"/>
    <w:link w:val="Heading5"/>
    <w:uiPriority w:val="1"/>
    <w:rsid w:val="006E48EA"/>
    <w:rPr>
      <w:rFonts w:ascii="Verdana" w:eastAsia="Times New Roman" w:hAnsi="Verdana" w:cs="Times New Roman"/>
      <w:b/>
      <w:i/>
      <w:sz w:val="20"/>
      <w:szCs w:val="24"/>
    </w:rPr>
  </w:style>
  <w:style w:type="character" w:customStyle="1" w:styleId="Heading6Char">
    <w:name w:val="Heading 6 Char"/>
    <w:basedOn w:val="DefaultParagraphFont"/>
    <w:link w:val="Heading6"/>
    <w:semiHidden/>
    <w:rsid w:val="006E48EA"/>
    <w:rPr>
      <w:rFonts w:ascii="Times New Roman" w:eastAsia="Times New Roman" w:hAnsi="Times New Roman" w:cs="Times New Roman"/>
      <w:b/>
      <w:bCs/>
      <w:sz w:val="20"/>
    </w:rPr>
  </w:style>
  <w:style w:type="character" w:customStyle="1" w:styleId="Heading7Char">
    <w:name w:val="Heading 7 Char"/>
    <w:basedOn w:val="DefaultParagraphFont"/>
    <w:link w:val="Heading7"/>
    <w:semiHidden/>
    <w:rsid w:val="006E48EA"/>
    <w:rPr>
      <w:rFonts w:ascii="Times New Roman" w:eastAsia="Times New Roman" w:hAnsi="Times New Roman" w:cs="Times New Roman"/>
      <w:sz w:val="24"/>
      <w:szCs w:val="24"/>
    </w:rPr>
  </w:style>
  <w:style w:type="character" w:customStyle="1" w:styleId="Heading8Char">
    <w:name w:val="Heading 8 Char"/>
    <w:basedOn w:val="DefaultParagraphFont"/>
    <w:link w:val="Heading8"/>
    <w:semiHidden/>
    <w:rsid w:val="006E48EA"/>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semiHidden/>
    <w:rsid w:val="006E48EA"/>
    <w:rPr>
      <w:rFonts w:ascii="Verdana" w:eastAsia="Times New Roman" w:hAnsi="Verdana" w:cs="Arial"/>
      <w:sz w:val="20"/>
    </w:rPr>
  </w:style>
  <w:style w:type="paragraph" w:styleId="FootnoteText">
    <w:name w:val="footnote text"/>
    <w:aliases w:val="Fußnote, Char"/>
    <w:basedOn w:val="Normal"/>
    <w:link w:val="FootnoteTextChar"/>
    <w:uiPriority w:val="1"/>
    <w:rsid w:val="006E48EA"/>
    <w:pPr>
      <w:spacing w:line="180" w:lineRule="exact"/>
      <w:ind w:left="142" w:hanging="142"/>
    </w:pPr>
    <w:rPr>
      <w:sz w:val="16"/>
      <w:szCs w:val="16"/>
    </w:rPr>
  </w:style>
  <w:style w:type="character" w:customStyle="1" w:styleId="FootnoteTextChar">
    <w:name w:val="Footnote Text Char"/>
    <w:aliases w:val="Fußnote Char1, Char Char"/>
    <w:basedOn w:val="DefaultParagraphFont"/>
    <w:link w:val="FootnoteText"/>
    <w:uiPriority w:val="1"/>
    <w:rsid w:val="006E48EA"/>
    <w:rPr>
      <w:rFonts w:ascii="Verdana" w:eastAsia="Times New Roman" w:hAnsi="Verdana" w:cs="Times New Roman"/>
      <w:sz w:val="16"/>
      <w:szCs w:val="16"/>
    </w:rPr>
  </w:style>
  <w:style w:type="character" w:styleId="FootnoteReference">
    <w:name w:val="footnote reference"/>
    <w:uiPriority w:val="1"/>
    <w:rsid w:val="006E48EA"/>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6E48EA"/>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65E4A"/>
    <w:pPr>
      <w:spacing w:before="0" w:after="0"/>
      <w:ind w:left="33"/>
    </w:pPr>
    <w:rPr>
      <w:rFonts w:ascii="Times New Roman" w:hAnsi="Times New Roman" w:cs="Arial"/>
      <w:bCs/>
      <w:sz w:val="18"/>
      <w:szCs w:val="18"/>
      <w:lang w:eastAsia="de-DE"/>
    </w:rPr>
  </w:style>
  <w:style w:type="character" w:customStyle="1" w:styleId="InstructionsTabelleberschrift">
    <w:name w:val="Instructions Tabelle Überschrift"/>
    <w:qFormat/>
    <w:rsid w:val="006E48EA"/>
    <w:rPr>
      <w:rFonts w:ascii="Verdana" w:hAnsi="Verdana" w:cs="Times New Roman"/>
      <w:b/>
      <w:bCs/>
      <w:sz w:val="20"/>
      <w:u w:val="single"/>
    </w:rPr>
  </w:style>
  <w:style w:type="character" w:customStyle="1" w:styleId="InstructionsTabelleText">
    <w:name w:val="Instructions Tabelle Text"/>
    <w:rsid w:val="006E48EA"/>
    <w:rPr>
      <w:rFonts w:ascii="Verdana" w:hAnsi="Verdana" w:cs="Times New Roman"/>
      <w:sz w:val="20"/>
    </w:rPr>
  </w:style>
  <w:style w:type="character" w:customStyle="1" w:styleId="FormatvorlageInstructionsTabelleText">
    <w:name w:val="Formatvorlage Instructions Tabelle Text"/>
    <w:uiPriority w:val="99"/>
    <w:qFormat/>
    <w:rsid w:val="006E48EA"/>
    <w:rPr>
      <w:rFonts w:ascii="Verdana" w:hAnsi="Verdana" w:cs="Times New Roman"/>
      <w:bCs/>
      <w:sz w:val="20"/>
      <w:u w:val="none"/>
    </w:rPr>
  </w:style>
  <w:style w:type="character" w:customStyle="1" w:styleId="InstructionsTextChar">
    <w:name w:val="Instructions Text Char"/>
    <w:link w:val="InstructionsText"/>
    <w:locked/>
    <w:rsid w:val="00865E4A"/>
    <w:rPr>
      <w:rFonts w:ascii="Times New Roman" w:eastAsia="Times New Roman" w:hAnsi="Times New Roman" w:cs="Arial"/>
      <w:bCs/>
      <w:sz w:val="18"/>
      <w:szCs w:val="18"/>
      <w:lang w:eastAsia="de-DE"/>
    </w:rPr>
  </w:style>
  <w:style w:type="paragraph" w:customStyle="1" w:styleId="InstructionsText2">
    <w:name w:val="Instructions Text 2"/>
    <w:basedOn w:val="InstructionsText"/>
    <w:qFormat/>
    <w:rsid w:val="006E48EA"/>
    <w:pPr>
      <w:numPr>
        <w:numId w:val="84"/>
      </w:numPr>
      <w:spacing w:after="240"/>
    </w:pPr>
  </w:style>
  <w:style w:type="paragraph" w:customStyle="1" w:styleId="Paragraph">
    <w:name w:val="Paragraph"/>
    <w:basedOn w:val="Normal"/>
    <w:link w:val="ParagraphChar"/>
    <w:rsid w:val="006E48EA"/>
    <w:pPr>
      <w:spacing w:before="0" w:after="240"/>
    </w:pPr>
    <w:rPr>
      <w:rFonts w:ascii="Arial" w:hAnsi="Arial"/>
      <w:sz w:val="22"/>
      <w:szCs w:val="20"/>
    </w:rPr>
  </w:style>
  <w:style w:type="character" w:customStyle="1" w:styleId="ParagraphChar">
    <w:name w:val="Paragraph Char"/>
    <w:link w:val="Paragraph"/>
    <w:rsid w:val="006E48EA"/>
    <w:rPr>
      <w:rFonts w:ascii="Arial" w:eastAsia="Times New Roman" w:hAnsi="Arial" w:cs="Times New Roman"/>
      <w:szCs w:val="20"/>
    </w:rPr>
  </w:style>
  <w:style w:type="character" w:customStyle="1" w:styleId="FunoteChar">
    <w:name w:val="Fußnote Char"/>
    <w:aliases w:val=" Char Char Char"/>
    <w:semiHidden/>
    <w:rsid w:val="006E48EA"/>
    <w:rPr>
      <w:rFonts w:ascii="Arial" w:hAnsi="Arial"/>
      <w:sz w:val="18"/>
      <w:lang w:val="el-GR" w:eastAsia="en-US" w:bidi="ar-SA"/>
    </w:rPr>
  </w:style>
  <w:style w:type="paragraph" w:customStyle="1" w:styleId="Bullets">
    <w:name w:val="Bullets"/>
    <w:basedOn w:val="Normal"/>
    <w:link w:val="BulletsChar"/>
    <w:rsid w:val="006E48EA"/>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6E48EA"/>
    <w:rPr>
      <w:rFonts w:ascii="Arial" w:eastAsia="MS Mincho" w:hAnsi="Arial" w:cs="Times New Roman"/>
      <w:szCs w:val="20"/>
      <w:lang w:eastAsia="ja-JP"/>
    </w:rPr>
  </w:style>
  <w:style w:type="paragraph" w:customStyle="1" w:styleId="TableText">
    <w:name w:val="TableText"/>
    <w:basedOn w:val="Normal"/>
    <w:qFormat/>
    <w:rsid w:val="0011588D"/>
    <w:pPr>
      <w:keepNext/>
      <w:spacing w:before="60" w:after="60"/>
      <w:jc w:val="left"/>
    </w:pPr>
    <w:rPr>
      <w:rFonts w:ascii="Arial" w:hAnsi="Arial"/>
      <w:szCs w:val="20"/>
    </w:rPr>
  </w:style>
  <w:style w:type="paragraph" w:styleId="BalloonText">
    <w:name w:val="Balloon Text"/>
    <w:basedOn w:val="Normal"/>
    <w:link w:val="BalloonTextChar"/>
    <w:uiPriority w:val="99"/>
    <w:semiHidden/>
    <w:rsid w:val="006E48EA"/>
    <w:rPr>
      <w:rFonts w:ascii="Tahoma" w:hAnsi="Tahoma" w:cs="Tahoma"/>
      <w:sz w:val="16"/>
      <w:szCs w:val="16"/>
    </w:rPr>
  </w:style>
  <w:style w:type="character" w:customStyle="1" w:styleId="BalloonTextChar">
    <w:name w:val="Balloon Text Char"/>
    <w:basedOn w:val="DefaultParagraphFont"/>
    <w:link w:val="BalloonText"/>
    <w:uiPriority w:val="99"/>
    <w:semiHidden/>
    <w:rsid w:val="006E48EA"/>
    <w:rPr>
      <w:rFonts w:ascii="Tahoma" w:eastAsia="Times New Roman" w:hAnsi="Tahoma" w:cs="Tahoma"/>
      <w:sz w:val="16"/>
      <w:szCs w:val="16"/>
    </w:rPr>
  </w:style>
  <w:style w:type="character" w:styleId="CommentReference">
    <w:name w:val="annotation reference"/>
    <w:uiPriority w:val="99"/>
    <w:rsid w:val="006E48EA"/>
    <w:rPr>
      <w:sz w:val="16"/>
      <w:szCs w:val="16"/>
    </w:rPr>
  </w:style>
  <w:style w:type="paragraph" w:styleId="CommentText">
    <w:name w:val="annotation text"/>
    <w:basedOn w:val="Normal"/>
    <w:link w:val="CommentTextChar"/>
    <w:uiPriority w:val="99"/>
    <w:rsid w:val="006E48EA"/>
    <w:rPr>
      <w:szCs w:val="20"/>
    </w:rPr>
  </w:style>
  <w:style w:type="character" w:customStyle="1" w:styleId="CommentTextChar">
    <w:name w:val="Comment Text Char"/>
    <w:basedOn w:val="DefaultParagraphFont"/>
    <w:link w:val="CommentText"/>
    <w:uiPriority w:val="99"/>
    <w:rsid w:val="006E48EA"/>
    <w:rPr>
      <w:rFonts w:ascii="Verdana" w:eastAsia="Times New Roman" w:hAnsi="Verdana" w:cs="Times New Roman"/>
      <w:sz w:val="20"/>
      <w:szCs w:val="20"/>
    </w:rPr>
  </w:style>
  <w:style w:type="paragraph" w:styleId="CommentSubject">
    <w:name w:val="annotation subject"/>
    <w:basedOn w:val="CommentText"/>
    <w:next w:val="CommentText"/>
    <w:link w:val="CommentSubjectChar"/>
    <w:uiPriority w:val="99"/>
    <w:rsid w:val="006E48EA"/>
    <w:rPr>
      <w:b/>
      <w:bCs/>
    </w:rPr>
  </w:style>
  <w:style w:type="character" w:customStyle="1" w:styleId="CommentSubjectChar">
    <w:name w:val="Comment Subject Char"/>
    <w:basedOn w:val="CommentTextChar"/>
    <w:link w:val="CommentSubject"/>
    <w:uiPriority w:val="99"/>
    <w:rsid w:val="006E48EA"/>
    <w:rPr>
      <w:rFonts w:ascii="Verdana" w:eastAsia="Times New Roman" w:hAnsi="Verdana" w:cs="Times New Roman"/>
      <w:b/>
      <w:bCs/>
      <w:sz w:val="20"/>
      <w:szCs w:val="20"/>
    </w:rPr>
  </w:style>
  <w:style w:type="paragraph" w:customStyle="1" w:styleId="ReferenceText">
    <w:name w:val="Reference Text"/>
    <w:basedOn w:val="Normal"/>
    <w:next w:val="InstructionsText"/>
    <w:qFormat/>
    <w:rsid w:val="006E48EA"/>
    <w:pPr>
      <w:framePr w:w="3976" w:h="1381" w:wrap="notBeside" w:vAnchor="page" w:hAnchor="page" w:x="6526" w:y="946" w:anchorLock="1"/>
      <w:tabs>
        <w:tab w:val="center" w:pos="4153"/>
        <w:tab w:val="right" w:pos="9072"/>
      </w:tabs>
      <w:spacing w:before="0" w:after="0" w:line="300" w:lineRule="exact"/>
      <w:jc w:val="right"/>
    </w:pPr>
    <w:rPr>
      <w:rFonts w:ascii="Calibri" w:hAnsi="Calibri"/>
      <w:color w:val="C0504D"/>
      <w:szCs w:val="20"/>
    </w:rPr>
  </w:style>
  <w:style w:type="character" w:customStyle="1" w:styleId="DeltaViewInsertion">
    <w:name w:val="DeltaView Insertion"/>
    <w:uiPriority w:val="99"/>
    <w:rsid w:val="006E48EA"/>
    <w:rPr>
      <w:b/>
      <w:bCs/>
      <w:i/>
      <w:iCs/>
      <w:spacing w:val="0"/>
    </w:rPr>
  </w:style>
  <w:style w:type="character" w:customStyle="1" w:styleId="DeltaViewDeletion">
    <w:name w:val="DeltaView Deletion"/>
    <w:rsid w:val="006E48EA"/>
    <w:rPr>
      <w:strike/>
      <w:spacing w:val="0"/>
    </w:rPr>
  </w:style>
  <w:style w:type="paragraph" w:customStyle="1" w:styleId="Point1">
    <w:name w:val="Point 1"/>
    <w:basedOn w:val="Normal"/>
    <w:link w:val="Point1Char"/>
    <w:rsid w:val="006E48EA"/>
    <w:pPr>
      <w:suppressAutoHyphens/>
      <w:autoSpaceDE w:val="0"/>
      <w:autoSpaceDN w:val="0"/>
      <w:adjustRightInd w:val="0"/>
      <w:ind w:left="1417" w:hanging="567"/>
    </w:pPr>
    <w:rPr>
      <w:rFonts w:ascii="Times New Roman" w:hAnsi="Times New Roman"/>
      <w:sz w:val="24"/>
      <w:lang w:eastAsia="fr-BE"/>
    </w:rPr>
  </w:style>
  <w:style w:type="character" w:customStyle="1" w:styleId="Point1Char">
    <w:name w:val="Point 1 Char"/>
    <w:link w:val="Point1"/>
    <w:locked/>
    <w:rsid w:val="006E48EA"/>
    <w:rPr>
      <w:rFonts w:ascii="Times New Roman" w:eastAsia="Times New Roman" w:hAnsi="Times New Roman" w:cs="Times New Roman"/>
      <w:sz w:val="24"/>
      <w:szCs w:val="24"/>
      <w:lang w:eastAsia="fr-BE"/>
    </w:rPr>
  </w:style>
  <w:style w:type="paragraph" w:customStyle="1" w:styleId="CarCarCharCarCarCharCharCharChar">
    <w:name w:val="Car Car Char Car Car Char Char Char Char"/>
    <w:basedOn w:val="Normal"/>
    <w:rsid w:val="006E48EA"/>
    <w:pPr>
      <w:spacing w:before="0" w:after="0"/>
      <w:jc w:val="left"/>
    </w:pPr>
    <w:rPr>
      <w:rFonts w:ascii="Times New Roman" w:hAnsi="Times New Roman"/>
      <w:sz w:val="24"/>
    </w:rPr>
  </w:style>
  <w:style w:type="paragraph" w:styleId="ListParagraph">
    <w:name w:val="List Paragraph"/>
    <w:basedOn w:val="Normal"/>
    <w:uiPriority w:val="34"/>
    <w:qFormat/>
    <w:rsid w:val="006E48EA"/>
    <w:pPr>
      <w:ind w:left="720"/>
      <w:contextualSpacing/>
    </w:pPr>
  </w:style>
  <w:style w:type="paragraph" w:styleId="Revision">
    <w:name w:val="Revision"/>
    <w:hidden/>
    <w:uiPriority w:val="99"/>
    <w:semiHidden/>
    <w:rsid w:val="0011588D"/>
    <w:pPr>
      <w:spacing w:after="0" w:line="240" w:lineRule="auto"/>
    </w:pPr>
    <w:rPr>
      <w:rFonts w:ascii="Verdana" w:eastAsia="Times New Roman" w:hAnsi="Verdana" w:cs="Times New Roman"/>
      <w:sz w:val="20"/>
      <w:szCs w:val="24"/>
    </w:rPr>
  </w:style>
  <w:style w:type="paragraph" w:styleId="Header">
    <w:name w:val="header"/>
    <w:basedOn w:val="Normal"/>
    <w:link w:val="HeaderChar"/>
    <w:uiPriority w:val="99"/>
    <w:rsid w:val="006E48EA"/>
    <w:pPr>
      <w:tabs>
        <w:tab w:val="center" w:pos="4513"/>
        <w:tab w:val="right" w:pos="9026"/>
      </w:tabs>
      <w:spacing w:before="0" w:after="0"/>
    </w:pPr>
  </w:style>
  <w:style w:type="character" w:customStyle="1" w:styleId="HeaderChar">
    <w:name w:val="Header Char"/>
    <w:basedOn w:val="DefaultParagraphFont"/>
    <w:link w:val="Header"/>
    <w:uiPriority w:val="99"/>
    <w:rsid w:val="006E48EA"/>
    <w:rPr>
      <w:rFonts w:ascii="Verdana" w:eastAsia="Times New Roman" w:hAnsi="Verdana" w:cs="Times New Roman"/>
      <w:sz w:val="20"/>
      <w:szCs w:val="24"/>
    </w:rPr>
  </w:style>
  <w:style w:type="paragraph" w:styleId="Footer">
    <w:name w:val="footer"/>
    <w:basedOn w:val="Normal"/>
    <w:link w:val="FooterChar"/>
    <w:uiPriority w:val="99"/>
    <w:rsid w:val="006E48EA"/>
    <w:pPr>
      <w:tabs>
        <w:tab w:val="center" w:pos="4513"/>
        <w:tab w:val="right" w:pos="9026"/>
      </w:tabs>
      <w:spacing w:before="0" w:after="0"/>
    </w:pPr>
  </w:style>
  <w:style w:type="character" w:customStyle="1" w:styleId="FooterChar">
    <w:name w:val="Footer Char"/>
    <w:basedOn w:val="DefaultParagraphFont"/>
    <w:link w:val="Footer"/>
    <w:uiPriority w:val="99"/>
    <w:rsid w:val="006E48EA"/>
    <w:rPr>
      <w:rFonts w:ascii="Verdana" w:eastAsia="Times New Roman" w:hAnsi="Verdana" w:cs="Times New Roman"/>
      <w:sz w:val="20"/>
      <w:szCs w:val="24"/>
    </w:rPr>
  </w:style>
  <w:style w:type="character" w:styleId="HTMLTypewriter">
    <w:name w:val="HTML Typewriter"/>
    <w:uiPriority w:val="99"/>
    <w:unhideWhenUsed/>
    <w:rsid w:val="006E48EA"/>
    <w:rPr>
      <w:rFonts w:ascii="Courier New" w:eastAsia="Calibri" w:hAnsi="Courier New" w:cs="Courier New" w:hint="default"/>
      <w:sz w:val="20"/>
      <w:szCs w:val="20"/>
    </w:rPr>
  </w:style>
  <w:style w:type="table" w:styleId="TableGrid">
    <w:name w:val="Table Grid"/>
    <w:basedOn w:val="TableNormal"/>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gedecouverture">
    <w:name w:val="Page de couverture"/>
    <w:basedOn w:val="Normal"/>
    <w:next w:val="Normal"/>
    <w:rsid w:val="006E48EA"/>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6E48EA"/>
    <w:pPr>
      <w:tabs>
        <w:tab w:val="center" w:pos="4535"/>
        <w:tab w:val="right" w:pos="9071"/>
        <w:tab w:val="right" w:pos="9921"/>
      </w:tabs>
      <w:spacing w:before="360" w:after="0"/>
      <w:ind w:left="-850" w:right="-850"/>
      <w:jc w:val="left"/>
    </w:pPr>
    <w:rPr>
      <w:rFonts w:ascii="Times New Roman" w:hAnsi="Times New Roman"/>
      <w:sz w:val="24"/>
      <w:szCs w:val="28"/>
    </w:rPr>
  </w:style>
  <w:style w:type="character" w:customStyle="1" w:styleId="FooterCoverPageChar">
    <w:name w:val="Footer Cover Page Char"/>
    <w:link w:val="FooterCoverPage"/>
    <w:rsid w:val="006E48EA"/>
    <w:rPr>
      <w:rFonts w:ascii="Times New Roman" w:eastAsia="Times New Roman" w:hAnsi="Times New Roman" w:cs="Times New Roman"/>
      <w:sz w:val="24"/>
      <w:szCs w:val="28"/>
    </w:rPr>
  </w:style>
  <w:style w:type="paragraph" w:customStyle="1" w:styleId="HeaderCoverPage">
    <w:name w:val="Header Cover Page"/>
    <w:basedOn w:val="Normal"/>
    <w:link w:val="HeaderCoverPageChar"/>
    <w:rsid w:val="006E48EA"/>
    <w:pPr>
      <w:tabs>
        <w:tab w:val="center" w:pos="4535"/>
        <w:tab w:val="right" w:pos="9071"/>
      </w:tabs>
      <w:spacing w:before="0"/>
    </w:pPr>
    <w:rPr>
      <w:rFonts w:ascii="Times New Roman" w:hAnsi="Times New Roman"/>
      <w:sz w:val="24"/>
      <w:szCs w:val="28"/>
    </w:rPr>
  </w:style>
  <w:style w:type="character" w:customStyle="1" w:styleId="HeaderCoverPageChar">
    <w:name w:val="Header Cover Page Char"/>
    <w:link w:val="HeaderCoverPage"/>
    <w:rsid w:val="006E48EA"/>
    <w:rPr>
      <w:rFonts w:ascii="Times New Roman" w:eastAsia="Times New Roman" w:hAnsi="Times New Roman" w:cs="Times New Roman"/>
      <w:sz w:val="24"/>
      <w:szCs w:val="28"/>
    </w:rPr>
  </w:style>
  <w:style w:type="numbering" w:customStyle="1" w:styleId="NoList1">
    <w:name w:val="No List1"/>
    <w:next w:val="NoList"/>
    <w:uiPriority w:val="99"/>
    <w:semiHidden/>
    <w:unhideWhenUsed/>
    <w:rsid w:val="006E48EA"/>
  </w:style>
  <w:style w:type="paragraph" w:styleId="BodyText">
    <w:name w:val="Body Text"/>
    <w:basedOn w:val="Normal"/>
    <w:link w:val="BodyTextChar"/>
    <w:uiPriority w:val="1"/>
    <w:qFormat/>
    <w:rsid w:val="006E48EA"/>
    <w:pPr>
      <w:widowControl w:val="0"/>
      <w:spacing w:before="0" w:after="0"/>
      <w:ind w:left="822" w:hanging="360"/>
      <w:jc w:val="left"/>
    </w:pPr>
    <w:rPr>
      <w:rFonts w:eastAsia="Verdana"/>
      <w:sz w:val="18"/>
      <w:szCs w:val="18"/>
    </w:rPr>
  </w:style>
  <w:style w:type="character" w:customStyle="1" w:styleId="BodyTextChar">
    <w:name w:val="Body Text Char"/>
    <w:basedOn w:val="DefaultParagraphFont"/>
    <w:link w:val="BodyText"/>
    <w:uiPriority w:val="1"/>
    <w:rsid w:val="006E48EA"/>
    <w:rPr>
      <w:rFonts w:ascii="Verdana" w:eastAsia="Verdana" w:hAnsi="Verdana" w:cs="Times New Roman"/>
      <w:sz w:val="18"/>
      <w:szCs w:val="18"/>
      <w:lang w:val="el-GR"/>
    </w:rPr>
  </w:style>
  <w:style w:type="table" w:customStyle="1" w:styleId="TableGrid1">
    <w:name w:val="Table Grid1"/>
    <w:basedOn w:val="TableNormal"/>
    <w:next w:val="TableGrid"/>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6E48EA"/>
    <w:pPr>
      <w:widowControl w:val="0"/>
      <w:spacing w:before="0" w:after="0"/>
      <w:jc w:val="left"/>
    </w:pPr>
    <w:rPr>
      <w:rFonts w:ascii="Calibri" w:eastAsia="Calibri" w:hAnsi="Calibri"/>
      <w:sz w:val="22"/>
      <w:szCs w:val="22"/>
    </w:rPr>
  </w:style>
  <w:style w:type="table" w:customStyle="1" w:styleId="TableNormal1">
    <w:name w:val="Table Normal1"/>
    <w:uiPriority w:val="2"/>
    <w:semiHidden/>
    <w:unhideWhenUsed/>
    <w:qFormat/>
    <w:rsid w:val="006E48EA"/>
    <w:pPr>
      <w:widowControl w:val="0"/>
      <w:spacing w:after="0" w:line="240" w:lineRule="auto"/>
    </w:pPr>
    <w:rPr>
      <w:rFonts w:ascii="Calibri" w:eastAsia="Calibri" w:hAnsi="Calibri" w:cs="Times New Roman"/>
    </w:rPr>
    <w:tblPr>
      <w:tblInd w:w="0" w:type="dxa"/>
      <w:tblCellMar>
        <w:top w:w="0" w:type="dxa"/>
        <w:left w:w="0" w:type="dxa"/>
        <w:bottom w:w="0" w:type="dxa"/>
        <w:right w:w="0" w:type="dxa"/>
      </w:tblCellMar>
    </w:tblPr>
  </w:style>
  <w:style w:type="table" w:customStyle="1" w:styleId="TableGrid2">
    <w:name w:val="Table Grid2"/>
    <w:basedOn w:val="TableNormal"/>
    <w:next w:val="TableGrid"/>
    <w:uiPriority w:val="59"/>
    <w:rsid w:val="006E48EA"/>
    <w:pPr>
      <w:spacing w:after="0" w:line="240" w:lineRule="auto"/>
    </w:pPr>
    <w:rPr>
      <w:rFonts w:ascii="Cambria" w:eastAsia="Calibri" w:hAnsi="Cambria"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26277">
      <w:bodyDiv w:val="1"/>
      <w:marLeft w:val="0"/>
      <w:marRight w:val="0"/>
      <w:marTop w:val="0"/>
      <w:marBottom w:val="0"/>
      <w:divBdr>
        <w:top w:val="none" w:sz="0" w:space="0" w:color="auto"/>
        <w:left w:val="none" w:sz="0" w:space="0" w:color="auto"/>
        <w:bottom w:val="none" w:sz="0" w:space="0" w:color="auto"/>
        <w:right w:val="none" w:sz="0" w:space="0" w:color="auto"/>
      </w:divBdr>
    </w:div>
    <w:div w:id="206841019">
      <w:bodyDiv w:val="1"/>
      <w:marLeft w:val="0"/>
      <w:marRight w:val="0"/>
      <w:marTop w:val="0"/>
      <w:marBottom w:val="0"/>
      <w:divBdr>
        <w:top w:val="none" w:sz="0" w:space="0" w:color="auto"/>
        <w:left w:val="none" w:sz="0" w:space="0" w:color="auto"/>
        <w:bottom w:val="none" w:sz="0" w:space="0" w:color="auto"/>
        <w:right w:val="none" w:sz="0" w:space="0" w:color="auto"/>
      </w:divBdr>
    </w:div>
    <w:div w:id="221215685">
      <w:bodyDiv w:val="1"/>
      <w:marLeft w:val="0"/>
      <w:marRight w:val="0"/>
      <w:marTop w:val="0"/>
      <w:marBottom w:val="0"/>
      <w:divBdr>
        <w:top w:val="none" w:sz="0" w:space="0" w:color="auto"/>
        <w:left w:val="none" w:sz="0" w:space="0" w:color="auto"/>
        <w:bottom w:val="none" w:sz="0" w:space="0" w:color="auto"/>
        <w:right w:val="none" w:sz="0" w:space="0" w:color="auto"/>
      </w:divBdr>
    </w:div>
    <w:div w:id="322393206">
      <w:bodyDiv w:val="1"/>
      <w:marLeft w:val="0"/>
      <w:marRight w:val="0"/>
      <w:marTop w:val="0"/>
      <w:marBottom w:val="0"/>
      <w:divBdr>
        <w:top w:val="none" w:sz="0" w:space="0" w:color="auto"/>
        <w:left w:val="none" w:sz="0" w:space="0" w:color="auto"/>
        <w:bottom w:val="none" w:sz="0" w:space="0" w:color="auto"/>
        <w:right w:val="none" w:sz="0" w:space="0" w:color="auto"/>
      </w:divBdr>
    </w:div>
    <w:div w:id="373122616">
      <w:bodyDiv w:val="1"/>
      <w:marLeft w:val="0"/>
      <w:marRight w:val="0"/>
      <w:marTop w:val="0"/>
      <w:marBottom w:val="0"/>
      <w:divBdr>
        <w:top w:val="none" w:sz="0" w:space="0" w:color="auto"/>
        <w:left w:val="none" w:sz="0" w:space="0" w:color="auto"/>
        <w:bottom w:val="none" w:sz="0" w:space="0" w:color="auto"/>
        <w:right w:val="none" w:sz="0" w:space="0" w:color="auto"/>
      </w:divBdr>
    </w:div>
    <w:div w:id="484785774">
      <w:bodyDiv w:val="1"/>
      <w:marLeft w:val="0"/>
      <w:marRight w:val="0"/>
      <w:marTop w:val="0"/>
      <w:marBottom w:val="0"/>
      <w:divBdr>
        <w:top w:val="none" w:sz="0" w:space="0" w:color="auto"/>
        <w:left w:val="none" w:sz="0" w:space="0" w:color="auto"/>
        <w:bottom w:val="none" w:sz="0" w:space="0" w:color="auto"/>
        <w:right w:val="none" w:sz="0" w:space="0" w:color="auto"/>
      </w:divBdr>
    </w:div>
    <w:div w:id="500659861">
      <w:bodyDiv w:val="1"/>
      <w:marLeft w:val="0"/>
      <w:marRight w:val="0"/>
      <w:marTop w:val="0"/>
      <w:marBottom w:val="0"/>
      <w:divBdr>
        <w:top w:val="none" w:sz="0" w:space="0" w:color="auto"/>
        <w:left w:val="none" w:sz="0" w:space="0" w:color="auto"/>
        <w:bottom w:val="none" w:sz="0" w:space="0" w:color="auto"/>
        <w:right w:val="none" w:sz="0" w:space="0" w:color="auto"/>
      </w:divBdr>
    </w:div>
    <w:div w:id="584917027">
      <w:bodyDiv w:val="1"/>
      <w:marLeft w:val="0"/>
      <w:marRight w:val="0"/>
      <w:marTop w:val="0"/>
      <w:marBottom w:val="0"/>
      <w:divBdr>
        <w:top w:val="none" w:sz="0" w:space="0" w:color="auto"/>
        <w:left w:val="none" w:sz="0" w:space="0" w:color="auto"/>
        <w:bottom w:val="none" w:sz="0" w:space="0" w:color="auto"/>
        <w:right w:val="none" w:sz="0" w:space="0" w:color="auto"/>
      </w:divBdr>
    </w:div>
    <w:div w:id="591856538">
      <w:bodyDiv w:val="1"/>
      <w:marLeft w:val="0"/>
      <w:marRight w:val="0"/>
      <w:marTop w:val="0"/>
      <w:marBottom w:val="0"/>
      <w:divBdr>
        <w:top w:val="none" w:sz="0" w:space="0" w:color="auto"/>
        <w:left w:val="none" w:sz="0" w:space="0" w:color="auto"/>
        <w:bottom w:val="none" w:sz="0" w:space="0" w:color="auto"/>
        <w:right w:val="none" w:sz="0" w:space="0" w:color="auto"/>
      </w:divBdr>
    </w:div>
    <w:div w:id="676536236">
      <w:bodyDiv w:val="1"/>
      <w:marLeft w:val="0"/>
      <w:marRight w:val="0"/>
      <w:marTop w:val="0"/>
      <w:marBottom w:val="0"/>
      <w:divBdr>
        <w:top w:val="none" w:sz="0" w:space="0" w:color="auto"/>
        <w:left w:val="none" w:sz="0" w:space="0" w:color="auto"/>
        <w:bottom w:val="none" w:sz="0" w:space="0" w:color="auto"/>
        <w:right w:val="none" w:sz="0" w:space="0" w:color="auto"/>
      </w:divBdr>
    </w:div>
    <w:div w:id="696270494">
      <w:bodyDiv w:val="1"/>
      <w:marLeft w:val="0"/>
      <w:marRight w:val="0"/>
      <w:marTop w:val="0"/>
      <w:marBottom w:val="0"/>
      <w:divBdr>
        <w:top w:val="none" w:sz="0" w:space="0" w:color="auto"/>
        <w:left w:val="none" w:sz="0" w:space="0" w:color="auto"/>
        <w:bottom w:val="none" w:sz="0" w:space="0" w:color="auto"/>
        <w:right w:val="none" w:sz="0" w:space="0" w:color="auto"/>
      </w:divBdr>
    </w:div>
    <w:div w:id="810488499">
      <w:bodyDiv w:val="1"/>
      <w:marLeft w:val="0"/>
      <w:marRight w:val="0"/>
      <w:marTop w:val="0"/>
      <w:marBottom w:val="0"/>
      <w:divBdr>
        <w:top w:val="none" w:sz="0" w:space="0" w:color="auto"/>
        <w:left w:val="none" w:sz="0" w:space="0" w:color="auto"/>
        <w:bottom w:val="none" w:sz="0" w:space="0" w:color="auto"/>
        <w:right w:val="none" w:sz="0" w:space="0" w:color="auto"/>
      </w:divBdr>
    </w:div>
    <w:div w:id="847645168">
      <w:bodyDiv w:val="1"/>
      <w:marLeft w:val="0"/>
      <w:marRight w:val="0"/>
      <w:marTop w:val="0"/>
      <w:marBottom w:val="0"/>
      <w:divBdr>
        <w:top w:val="none" w:sz="0" w:space="0" w:color="auto"/>
        <w:left w:val="none" w:sz="0" w:space="0" w:color="auto"/>
        <w:bottom w:val="none" w:sz="0" w:space="0" w:color="auto"/>
        <w:right w:val="none" w:sz="0" w:space="0" w:color="auto"/>
      </w:divBdr>
    </w:div>
    <w:div w:id="868418450">
      <w:bodyDiv w:val="1"/>
      <w:marLeft w:val="0"/>
      <w:marRight w:val="0"/>
      <w:marTop w:val="0"/>
      <w:marBottom w:val="0"/>
      <w:divBdr>
        <w:top w:val="none" w:sz="0" w:space="0" w:color="auto"/>
        <w:left w:val="none" w:sz="0" w:space="0" w:color="auto"/>
        <w:bottom w:val="none" w:sz="0" w:space="0" w:color="auto"/>
        <w:right w:val="none" w:sz="0" w:space="0" w:color="auto"/>
      </w:divBdr>
    </w:div>
    <w:div w:id="879128461">
      <w:bodyDiv w:val="1"/>
      <w:marLeft w:val="0"/>
      <w:marRight w:val="0"/>
      <w:marTop w:val="0"/>
      <w:marBottom w:val="0"/>
      <w:divBdr>
        <w:top w:val="none" w:sz="0" w:space="0" w:color="auto"/>
        <w:left w:val="none" w:sz="0" w:space="0" w:color="auto"/>
        <w:bottom w:val="none" w:sz="0" w:space="0" w:color="auto"/>
        <w:right w:val="none" w:sz="0" w:space="0" w:color="auto"/>
      </w:divBdr>
    </w:div>
    <w:div w:id="897471487">
      <w:bodyDiv w:val="1"/>
      <w:marLeft w:val="0"/>
      <w:marRight w:val="0"/>
      <w:marTop w:val="0"/>
      <w:marBottom w:val="0"/>
      <w:divBdr>
        <w:top w:val="none" w:sz="0" w:space="0" w:color="auto"/>
        <w:left w:val="none" w:sz="0" w:space="0" w:color="auto"/>
        <w:bottom w:val="none" w:sz="0" w:space="0" w:color="auto"/>
        <w:right w:val="none" w:sz="0" w:space="0" w:color="auto"/>
      </w:divBdr>
    </w:div>
    <w:div w:id="916937897">
      <w:bodyDiv w:val="1"/>
      <w:marLeft w:val="0"/>
      <w:marRight w:val="0"/>
      <w:marTop w:val="0"/>
      <w:marBottom w:val="0"/>
      <w:divBdr>
        <w:top w:val="none" w:sz="0" w:space="0" w:color="auto"/>
        <w:left w:val="none" w:sz="0" w:space="0" w:color="auto"/>
        <w:bottom w:val="none" w:sz="0" w:space="0" w:color="auto"/>
        <w:right w:val="none" w:sz="0" w:space="0" w:color="auto"/>
      </w:divBdr>
    </w:div>
    <w:div w:id="922296055">
      <w:bodyDiv w:val="1"/>
      <w:marLeft w:val="0"/>
      <w:marRight w:val="0"/>
      <w:marTop w:val="0"/>
      <w:marBottom w:val="0"/>
      <w:divBdr>
        <w:top w:val="none" w:sz="0" w:space="0" w:color="auto"/>
        <w:left w:val="none" w:sz="0" w:space="0" w:color="auto"/>
        <w:bottom w:val="none" w:sz="0" w:space="0" w:color="auto"/>
        <w:right w:val="none" w:sz="0" w:space="0" w:color="auto"/>
      </w:divBdr>
    </w:div>
    <w:div w:id="1155226134">
      <w:bodyDiv w:val="1"/>
      <w:marLeft w:val="0"/>
      <w:marRight w:val="0"/>
      <w:marTop w:val="0"/>
      <w:marBottom w:val="0"/>
      <w:divBdr>
        <w:top w:val="none" w:sz="0" w:space="0" w:color="auto"/>
        <w:left w:val="none" w:sz="0" w:space="0" w:color="auto"/>
        <w:bottom w:val="none" w:sz="0" w:space="0" w:color="auto"/>
        <w:right w:val="none" w:sz="0" w:space="0" w:color="auto"/>
      </w:divBdr>
    </w:div>
    <w:div w:id="1275944946">
      <w:bodyDiv w:val="1"/>
      <w:marLeft w:val="0"/>
      <w:marRight w:val="0"/>
      <w:marTop w:val="0"/>
      <w:marBottom w:val="0"/>
      <w:divBdr>
        <w:top w:val="none" w:sz="0" w:space="0" w:color="auto"/>
        <w:left w:val="none" w:sz="0" w:space="0" w:color="auto"/>
        <w:bottom w:val="none" w:sz="0" w:space="0" w:color="auto"/>
        <w:right w:val="none" w:sz="0" w:space="0" w:color="auto"/>
      </w:divBdr>
    </w:div>
    <w:div w:id="1313867207">
      <w:bodyDiv w:val="1"/>
      <w:marLeft w:val="0"/>
      <w:marRight w:val="0"/>
      <w:marTop w:val="0"/>
      <w:marBottom w:val="0"/>
      <w:divBdr>
        <w:top w:val="none" w:sz="0" w:space="0" w:color="auto"/>
        <w:left w:val="none" w:sz="0" w:space="0" w:color="auto"/>
        <w:bottom w:val="none" w:sz="0" w:space="0" w:color="auto"/>
        <w:right w:val="none" w:sz="0" w:space="0" w:color="auto"/>
      </w:divBdr>
    </w:div>
    <w:div w:id="1318076000">
      <w:bodyDiv w:val="1"/>
      <w:marLeft w:val="0"/>
      <w:marRight w:val="0"/>
      <w:marTop w:val="0"/>
      <w:marBottom w:val="0"/>
      <w:divBdr>
        <w:top w:val="none" w:sz="0" w:space="0" w:color="auto"/>
        <w:left w:val="none" w:sz="0" w:space="0" w:color="auto"/>
        <w:bottom w:val="none" w:sz="0" w:space="0" w:color="auto"/>
        <w:right w:val="none" w:sz="0" w:space="0" w:color="auto"/>
      </w:divBdr>
    </w:div>
    <w:div w:id="1335567018">
      <w:bodyDiv w:val="1"/>
      <w:marLeft w:val="0"/>
      <w:marRight w:val="0"/>
      <w:marTop w:val="0"/>
      <w:marBottom w:val="0"/>
      <w:divBdr>
        <w:top w:val="none" w:sz="0" w:space="0" w:color="auto"/>
        <w:left w:val="none" w:sz="0" w:space="0" w:color="auto"/>
        <w:bottom w:val="none" w:sz="0" w:space="0" w:color="auto"/>
        <w:right w:val="none" w:sz="0" w:space="0" w:color="auto"/>
      </w:divBdr>
    </w:div>
    <w:div w:id="1348797049">
      <w:bodyDiv w:val="1"/>
      <w:marLeft w:val="0"/>
      <w:marRight w:val="0"/>
      <w:marTop w:val="0"/>
      <w:marBottom w:val="0"/>
      <w:divBdr>
        <w:top w:val="none" w:sz="0" w:space="0" w:color="auto"/>
        <w:left w:val="none" w:sz="0" w:space="0" w:color="auto"/>
        <w:bottom w:val="none" w:sz="0" w:space="0" w:color="auto"/>
        <w:right w:val="none" w:sz="0" w:space="0" w:color="auto"/>
      </w:divBdr>
    </w:div>
    <w:div w:id="1406025254">
      <w:bodyDiv w:val="1"/>
      <w:marLeft w:val="0"/>
      <w:marRight w:val="0"/>
      <w:marTop w:val="0"/>
      <w:marBottom w:val="0"/>
      <w:divBdr>
        <w:top w:val="none" w:sz="0" w:space="0" w:color="auto"/>
        <w:left w:val="none" w:sz="0" w:space="0" w:color="auto"/>
        <w:bottom w:val="none" w:sz="0" w:space="0" w:color="auto"/>
        <w:right w:val="none" w:sz="0" w:space="0" w:color="auto"/>
      </w:divBdr>
    </w:div>
    <w:div w:id="1464888127">
      <w:bodyDiv w:val="1"/>
      <w:marLeft w:val="0"/>
      <w:marRight w:val="0"/>
      <w:marTop w:val="0"/>
      <w:marBottom w:val="0"/>
      <w:divBdr>
        <w:top w:val="none" w:sz="0" w:space="0" w:color="auto"/>
        <w:left w:val="none" w:sz="0" w:space="0" w:color="auto"/>
        <w:bottom w:val="none" w:sz="0" w:space="0" w:color="auto"/>
        <w:right w:val="none" w:sz="0" w:space="0" w:color="auto"/>
      </w:divBdr>
    </w:div>
    <w:div w:id="1484278336">
      <w:bodyDiv w:val="1"/>
      <w:marLeft w:val="0"/>
      <w:marRight w:val="0"/>
      <w:marTop w:val="0"/>
      <w:marBottom w:val="0"/>
      <w:divBdr>
        <w:top w:val="none" w:sz="0" w:space="0" w:color="auto"/>
        <w:left w:val="none" w:sz="0" w:space="0" w:color="auto"/>
        <w:bottom w:val="none" w:sz="0" w:space="0" w:color="auto"/>
        <w:right w:val="none" w:sz="0" w:space="0" w:color="auto"/>
      </w:divBdr>
    </w:div>
    <w:div w:id="1530794916">
      <w:bodyDiv w:val="1"/>
      <w:marLeft w:val="0"/>
      <w:marRight w:val="0"/>
      <w:marTop w:val="0"/>
      <w:marBottom w:val="0"/>
      <w:divBdr>
        <w:top w:val="none" w:sz="0" w:space="0" w:color="auto"/>
        <w:left w:val="none" w:sz="0" w:space="0" w:color="auto"/>
        <w:bottom w:val="none" w:sz="0" w:space="0" w:color="auto"/>
        <w:right w:val="none" w:sz="0" w:space="0" w:color="auto"/>
      </w:divBdr>
    </w:div>
    <w:div w:id="1920746700">
      <w:bodyDiv w:val="1"/>
      <w:marLeft w:val="0"/>
      <w:marRight w:val="0"/>
      <w:marTop w:val="0"/>
      <w:marBottom w:val="0"/>
      <w:divBdr>
        <w:top w:val="none" w:sz="0" w:space="0" w:color="auto"/>
        <w:left w:val="none" w:sz="0" w:space="0" w:color="auto"/>
        <w:bottom w:val="none" w:sz="0" w:space="0" w:color="auto"/>
        <w:right w:val="none" w:sz="0" w:space="0" w:color="auto"/>
      </w:divBdr>
    </w:div>
    <w:div w:id="1962567660">
      <w:bodyDiv w:val="1"/>
      <w:marLeft w:val="0"/>
      <w:marRight w:val="0"/>
      <w:marTop w:val="0"/>
      <w:marBottom w:val="0"/>
      <w:divBdr>
        <w:top w:val="none" w:sz="0" w:space="0" w:color="auto"/>
        <w:left w:val="none" w:sz="0" w:space="0" w:color="auto"/>
        <w:bottom w:val="none" w:sz="0" w:space="0" w:color="auto"/>
        <w:right w:val="none" w:sz="0" w:space="0" w:color="auto"/>
      </w:divBdr>
    </w:div>
    <w:div w:id="2012755758">
      <w:bodyDiv w:val="1"/>
      <w:marLeft w:val="0"/>
      <w:marRight w:val="0"/>
      <w:marTop w:val="0"/>
      <w:marBottom w:val="0"/>
      <w:divBdr>
        <w:top w:val="none" w:sz="0" w:space="0" w:color="auto"/>
        <w:left w:val="none" w:sz="0" w:space="0" w:color="auto"/>
        <w:bottom w:val="none" w:sz="0" w:space="0" w:color="auto"/>
        <w:right w:val="none" w:sz="0" w:space="0" w:color="auto"/>
      </w:divBdr>
    </w:div>
    <w:div w:id="2037189724">
      <w:bodyDiv w:val="1"/>
      <w:marLeft w:val="0"/>
      <w:marRight w:val="0"/>
      <w:marTop w:val="0"/>
      <w:marBottom w:val="0"/>
      <w:divBdr>
        <w:top w:val="none" w:sz="0" w:space="0" w:color="auto"/>
        <w:left w:val="none" w:sz="0" w:space="0" w:color="auto"/>
        <w:bottom w:val="none" w:sz="0" w:space="0" w:color="auto"/>
        <w:right w:val="none" w:sz="0" w:space="0" w:color="auto"/>
      </w:divBdr>
    </w:div>
    <w:div w:id="2070491414">
      <w:bodyDiv w:val="1"/>
      <w:marLeft w:val="0"/>
      <w:marRight w:val="0"/>
      <w:marTop w:val="0"/>
      <w:marBottom w:val="0"/>
      <w:divBdr>
        <w:top w:val="none" w:sz="0" w:space="0" w:color="auto"/>
        <w:left w:val="none" w:sz="0" w:space="0" w:color="auto"/>
        <w:bottom w:val="none" w:sz="0" w:space="0" w:color="auto"/>
        <w:right w:val="none" w:sz="0" w:space="0" w:color="auto"/>
      </w:divBdr>
    </w:div>
    <w:div w:id="2146851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D4546D7-762A-407B-B48C-5B5DF4EB3C6D}">
  <ds:schemaRefs>
    <ds:schemaRef ds:uri="http://schemas.openxmlformats.org/officeDocument/2006/bibliography"/>
  </ds:schemaRefs>
</ds:datastoreItem>
</file>

<file path=customXml/itemProps2.xml><?xml version="1.0" encoding="utf-8"?>
<ds:datastoreItem xmlns:ds="http://schemas.openxmlformats.org/officeDocument/2006/customXml" ds:itemID="{35B862FD-E92B-4E33-86E1-719B2E1CA5A9}"/>
</file>

<file path=customXml/itemProps3.xml><?xml version="1.0" encoding="utf-8"?>
<ds:datastoreItem xmlns:ds="http://schemas.openxmlformats.org/officeDocument/2006/customXml" ds:itemID="{6BA6F4EC-31BF-4EA0-8BEC-BC753B8F9E6E}"/>
</file>

<file path=customXml/itemProps4.xml><?xml version="1.0" encoding="utf-8"?>
<ds:datastoreItem xmlns:ds="http://schemas.openxmlformats.org/officeDocument/2006/customXml" ds:itemID="{38F78243-261A-4BF8-A7C5-7594766DB69B}"/>
</file>

<file path=docProps/app.xml><?xml version="1.0" encoding="utf-8"?>
<Properties xmlns="http://schemas.openxmlformats.org/officeDocument/2006/extended-properties" xmlns:vt="http://schemas.openxmlformats.org/officeDocument/2006/docPropsVTypes">
  <Template>Normal</Template>
  <TotalTime>36</TotalTime>
  <Pages>174</Pages>
  <Words>61629</Words>
  <Characters>336500</Characters>
  <Application>Microsoft Office Word</Application>
  <DocSecurity>0</DocSecurity>
  <Lines>9347</Lines>
  <Paragraphs>5238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392891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EBA staff</dc:creator>
  <cp:keywords/>
  <dc:description/>
  <cp:lastModifiedBy>SPANOU Marina (DGT)</cp:lastModifiedBy>
  <cp:revision>4</cp:revision>
  <cp:lastPrinted>2019-10-07T08:42:00Z</cp:lastPrinted>
  <dcterms:created xsi:type="dcterms:W3CDTF">2020-12-02T17:08:00Z</dcterms:created>
  <dcterms:modified xsi:type="dcterms:W3CDTF">2025-01-20T14:07:00Z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2025-01-20T14:07:29Z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5a170be2-43f4-4156-ad50-b465fe0912ce</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